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548" w:rsidRDefault="00EC0590">
      <w:pPr>
        <w:spacing w:after="0" w:line="192" w:lineRule="auto"/>
        <w:rPr>
          <w:rFonts w:ascii="HY헤드라인M" w:eastAsia="HY헤드라인M"/>
          <w:b/>
          <w:color w:val="203965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HY헤드라인M" w:eastAsia="HY헤드라인M"/>
          <w:b/>
          <w:noProof/>
          <w:color w:val="203965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hidden="0" allowOverlap="1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0"/>
            <wp:wrapNone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color w:val="203965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>
        <w:rPr>
          <w:b/>
          <w:color w:val="203965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:rsidR="00906548" w:rsidRDefault="00EC0590">
      <w:pPr>
        <w:spacing w:line="192" w:lineRule="auto"/>
        <w:rPr>
          <w:noProof/>
          <w:color w:val="413F3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HY헤드라인M" w:eastAsia="HY헤드라인M" w:hint="eastAsia"/>
          <w:noProof/>
          <w:color w:val="413F3F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>
        <w:rPr>
          <w:rFonts w:hint="eastAsia"/>
          <w:color w:val="413F3F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>
        <w:rPr>
          <w:noProof/>
          <w:color w:val="413F3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pPr w:leftFromText="142" w:rightFromText="142" w:vertAnchor="text" w:horzAnchor="page" w:tblpX="3406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906548">
        <w:trPr>
          <w:trHeight w:val="316"/>
        </w:trPr>
        <w:tc>
          <w:tcPr>
            <w:tcW w:w="7362" w:type="dxa"/>
            <w:gridSpan w:val="3"/>
            <w:vAlign w:val="center"/>
          </w:tcPr>
          <w:p w:rsidR="00906548" w:rsidRDefault="00EC0590">
            <w:pPr>
              <w:wordWrap/>
              <w:rPr>
                <w:rFonts w:ascii="HCRDotum-Bold" w:eastAsia="HCRDotum-Bold" w:cs="HCRDotum-Bold"/>
                <w:b/>
                <w:bCs/>
                <w:sz w:val="22"/>
              </w:rPr>
            </w:pPr>
            <w:r>
              <w:rPr>
                <w:rFonts w:ascii="HCRDotum-Bold" w:eastAsia="HCRDotum-Bold" w:cs="HCRDotum-Bold"/>
                <w:b/>
                <w:bCs/>
                <w:sz w:val="22"/>
              </w:rPr>
              <w:t>Contents</w:t>
            </w:r>
          </w:p>
        </w:tc>
      </w:tr>
      <w:tr w:rsidR="00906548">
        <w:trPr>
          <w:trHeight w:val="291"/>
        </w:trPr>
        <w:tc>
          <w:tcPr>
            <w:tcW w:w="2452" w:type="dxa"/>
            <w:vAlign w:val="center"/>
          </w:tcPr>
          <w:p w:rsidR="00906548" w:rsidRDefault="00EC0590">
            <w:pPr>
              <w:pStyle w:val="a6"/>
              <w:ind w:leftChars="0" w:left="0"/>
              <w:rPr>
                <w:b/>
                <w:sz w:val="22"/>
              </w:rPr>
            </w:pPr>
            <w:r>
              <w:rPr>
                <w:rFonts w:eastAsiaTheme="minorHAnsi" w:cs="바탕"/>
                <w:b/>
                <w:sz w:val="22"/>
              </w:rPr>
              <w:t xml:space="preserve">1.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:rsidR="00906548" w:rsidRDefault="00EC0590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3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>. Q &amp; A</w:t>
            </w:r>
          </w:p>
        </w:tc>
        <w:tc>
          <w:tcPr>
            <w:tcW w:w="2455" w:type="dxa"/>
          </w:tcPr>
          <w:p w:rsidR="00906548" w:rsidRDefault="00EC0590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5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약제부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공지사항</w:t>
            </w:r>
          </w:p>
        </w:tc>
      </w:tr>
      <w:tr w:rsidR="00906548">
        <w:trPr>
          <w:trHeight w:val="278"/>
        </w:trPr>
        <w:tc>
          <w:tcPr>
            <w:tcW w:w="2452" w:type="dxa"/>
            <w:vAlign w:val="center"/>
          </w:tcPr>
          <w:p w:rsidR="00906548" w:rsidRDefault="00EC0590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>
              <w:rPr>
                <w:rFonts w:ascii="MalgunGothicBold" w:eastAsia="MalgunGothicBold" w:cs="MalgunGothicBold"/>
                <w:b/>
                <w:bCs/>
                <w:sz w:val="22"/>
              </w:rPr>
              <w:t xml:space="preserve">2.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신약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:rsidR="00906548" w:rsidRDefault="00EC0590">
            <w:pPr>
              <w:pStyle w:val="a6"/>
              <w:ind w:leftChars="0" w:left="0"/>
              <w:rPr>
                <w:b/>
                <w:sz w:val="22"/>
              </w:rPr>
            </w:pP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4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I</w:t>
            </w:r>
            <w:r>
              <w:rPr>
                <w:rFonts w:ascii="MalgunGothicBold" w:eastAsia="MalgunGothicBold" w:cs="MalgunGothicBold"/>
                <w:b/>
                <w:bCs/>
                <w:sz w:val="22"/>
              </w:rPr>
              <w:t>ssue</w:t>
            </w:r>
          </w:p>
        </w:tc>
        <w:tc>
          <w:tcPr>
            <w:tcW w:w="2455" w:type="dxa"/>
          </w:tcPr>
          <w:p w:rsidR="00906548" w:rsidRDefault="00906548">
            <w:pPr>
              <w:pStyle w:val="a6"/>
              <w:ind w:leftChars="0" w:left="0"/>
              <w:rPr>
                <w:rFonts w:ascii="MalgunGothicBold" w:eastAsia="MalgunGothicBold" w:cs="MalgunGothicBold"/>
                <w:b/>
                <w:bCs/>
                <w:sz w:val="22"/>
              </w:rPr>
            </w:pPr>
          </w:p>
        </w:tc>
      </w:tr>
    </w:tbl>
    <w:p w:rsidR="00906548" w:rsidRDefault="00EC0590">
      <w:pPr>
        <w:spacing w:line="240" w:lineRule="auto"/>
        <w:rPr>
          <w:b/>
          <w:color w:val="203965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b/>
          <w:noProof/>
          <w:color w:val="413F3F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4287" t="14287" r="14287" b="14287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1.95pt;width:519.75pt;height:1.5pt;mso-position-horizontal:right;mso-position-horizontal-relative:margin;mso-position-vertical-relative:line;v-text-anchor:top;mso-wrap-style:square;z-index:251657216" o:allowincell="t" filled="f" stroked="t" strokecolor="#203864" strokeweight="2.25pt">
                <v:stroke joinstyle="round"/>
              </v:line>
            </w:pict>
          </mc:Fallback>
        </mc:AlternateContent>
      </w:r>
      <w:r>
        <w:rPr>
          <w:rFonts w:hint="eastAsia"/>
          <w:b/>
          <w:color w:val="203965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>
        <w:rPr>
          <w:b/>
          <w:color w:val="203965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OL.8     6</w:t>
      </w:r>
      <w:r>
        <w:rPr>
          <w:rFonts w:hint="eastAsia"/>
          <w:b/>
          <w:color w:val="203965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:rsidR="00906548" w:rsidRDefault="00906548">
      <w:pPr>
        <w:jc w:val="left"/>
      </w:pPr>
    </w:p>
    <w:p w:rsidR="00906548" w:rsidRDefault="00EC0590">
      <w:pPr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-49421</wp:posOffset>
                </wp:positionH>
                <wp:positionV relativeFrom="paragraph">
                  <wp:posOffset>292735</wp:posOffset>
                </wp:positionV>
                <wp:extent cx="6629400" cy="781050"/>
                <wp:effectExtent l="23859" t="23859" r="77740" b="7774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906548" w:rsidRDefault="00EC0590">
                              <w:pPr>
                                <w:jc w:val="left"/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의약뉴스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27" o:spid="_x0000_s1026" style="position:absolute;margin-left:-3.9pt;margin-top:23.05pt;width:522pt;height:61.5pt;z-index:251667456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HXfMgMAAA8IAAAOAAAAZHJzL2Uyb0RvYy54bWy0VVtv0zAUfkfiP1h+Z7msadpo7YQ2NiFN&#10;MG0gnl3HuWiOHWy36fj1HDvXBibEEHmIbJ/7d75jX1weK44OTOlSig0OznyMmKAyLUW+wV+/3Lxb&#10;YaQNESnhUrANfmYaX27fvrlo6oSFspA8ZQqBE6GTpt7gwpg68TxNC1YRfSZrJkCYSVURA1uVe6ki&#10;DXivuBf6/tJrpEprJSnTGk6vWyHeOv9Zxqj5nGWaGcQ3GHIz7q/cf2f/3vaCJLkidVHSLg3yiiwq&#10;UgoIOri6JoagvSp/cVWVVEktM3NGZeXJLCspczVANYE/q+ZWyX3tasmTJq8HmADaGU6vdks/He4V&#10;KlPonR/GGAlSQZd0QWrmDgCfps4TULtV9WN9r9oiYXkn6ZMGsTeX230+Kh8zVVkjqBUdHfDPA/Ds&#10;aBCFw+UyXC986A8FWbwK/KjrDC2gfdYsiINlgBGIV1EcRm3faPGhcxCt4zCIo7kDjyRteJfkkFRT&#10;A9n0iKf+NzwfLVquTdoC1ePZg0mLkqcosCnbwKDR46inIE4kVk13WM/g+y0OPYx/QoEktdLmlskK&#10;2cUGK5gPR1tyuNPGNnNUsT0T8qbkHM5JwsXJASi2J8wNGVi7Hu8NU49F2qAd36sHArSK/JVtbFra&#10;eOfQWreBCQxj334YEZ7D1WE4Rkqab6UpHJ6WI9alTfSKK3QgMME7TuhTmzCvC9IeAnHAzZg8aLtC&#10;ZJ+M203yBDL0+NqVOe6OXW92Mn2G9kEejqhwr8GikOoHRg3cETAY3/dEMYz4RwGkWQeLBRRg3GYB&#10;vISNmkp2UwkRFFxtMDXKlSDk+72RWelwt4m00d1EOX62fPnvRA1PiRpOiHol7lUHzQt8XC6Xduzs&#10;2Ibn67YPJBkIGfvRoh/LddTO7TCUI9c6OvJS2DkiyQt05AI1QBy4ASKnpiUvU8tQa+OeDDZQJX1y&#10;EwfBJloda2cE0OaZM+uCiweWwWVo75s2gH2GRp+EUiZM79dpW7MMMhgMW9bOkjk17PStacvKvzEe&#10;LFxkKcxgXJVCtsyaRR+hyFr9jmJd3SP17AzZHVDOrdyrA6uTZ226d1rjO779CQAA//8DAFBLAwQU&#10;AAYACAAAACEA9HmD2eEAAAAKAQAADwAAAGRycy9kb3ducmV2LnhtbEyPQU/CQBCF7yb+h82YeIPt&#10;glas3RJC1BMhEUyIt6Ed2obubNNd2vLvXU56m5f38t436XI0jeipc7VlDWoagSDObVFzqeF7/zFZ&#10;gHAeucDGMmm4koNldn+XYlLYgb+o3/lShBJ2CWqovG8TKV1ekUE3tS1x8E62M+iD7EpZdDiEctPI&#10;WRTF0mDNYaHCltYV5efdxWj4HHBYzdV7vzmf1tef/fP2sFGk9ePDuHoD4Wn0f2G44Qd0yALT0V64&#10;cKLRMHkJ5F7DU6xA3PxoHs9AHMMVvyqQWSr/v5D9AgAA//8DAFBLAQItABQABgAIAAAAIQC2gziS&#10;/gAAAOEBAAATAAAAAAAAAAAAAAAAAAAAAABbQ29udGVudF9UeXBlc10ueG1sUEsBAi0AFAAGAAgA&#10;AAAhADj9If/WAAAAlAEAAAsAAAAAAAAAAAAAAAAALwEAAF9yZWxzLy5yZWxzUEsBAi0AFAAGAAgA&#10;AAAhAPK0dd8yAwAADwgAAA4AAAAAAAAAAAAAAAAALgIAAGRycy9lMm9Eb2MueG1sUEsBAi0AFAAG&#10;AAgAAAAhAPR5g9nhAAAACgEAAA8AAAAAAAAAAAAAAAAAjAUAAGRycy9kb3ducmV2LnhtbFBLBQYA&#10;AAAABAAEAPMAAACaBgAAAAA=&#10;">
                <v:rect id="child 1" o:spid="_x0000_s1027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MkxwwAAANoAAAAPAAAAZHJzL2Rvd25yZXYueG1sRE9NawIx&#10;EL0L/Q9hCl5Es9rSytYoRRSEoqXqxdt0M90sbibLJq6rv94IBU/D433OZNbaUjRU+8KxguEgAUGc&#10;OV1wrmC/W/bHIHxA1lg6JgUX8jCbPnUmmGp35h9qtiEXMYR9igpMCFUqpc8MWfQDVxFH7s/VFkOE&#10;dS51jecYbks5SpI3abHg2GCwormh7Lg9WQXvm6/ry6Hpfe8uv69mfx0v1lnvqFT3uf38ABGoDQ/x&#10;v3ul43y4v3K/cnoDAAD//wMAUEsBAi0AFAAGAAgAAAAhANvh9svuAAAAhQEAABMAAAAAAAAAAAAA&#10;AAAAAAAAAFtDb250ZW50X1R5cGVzXS54bWxQSwECLQAUAAYACAAAACEAWvQsW78AAAAVAQAACwAA&#10;AAAAAAAAAAAAAAAfAQAAX3JlbHMvLnJlbHNQSwECLQAUAAYACAAAACEA0fzJMcMAAADa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:rsidR="00906548" w:rsidRDefault="00EC0590">
                        <w:pPr>
                          <w:jc w:val="left"/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의약뉴스</w:t>
                        </w:r>
                      </w:p>
                    </w:txbxContent>
                  </v:textbox>
                </v:rect>
                <v:line id="child 2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JR0wgAAANoAAAAPAAAAZHJzL2Rvd25yZXYueG1sRI9Ba8JA&#10;FITvhf6H5RW81Rc9iETXEIVStfTQpD/gNftMgtm3Ibtq/PddodDjMDPfMOtstJ268uBbJxpm0wQU&#10;S+VMK7WG7/LtdQnKBxJDnRPWcGcP2eb5aU2pcTf54msRahUh4lPS0ITQp4i+atiSn7qeJXonN1gK&#10;UQ41moFuEW47nCfJAi21Ehca6nnXcHUuLlbD5/sPFvfW5DPs7OX4geX2eCi1nryM+QpU4DH8h//a&#10;e6NhDo8r8Qbg5hcAAP//AwBQSwECLQAUAAYACAAAACEA2+H2y+4AAACFAQAAEwAAAAAAAAAAAAAA&#10;AAAAAAAAW0NvbnRlbnRfVHlwZXNdLnhtbFBLAQItABQABgAIAAAAIQBa9CxbvwAAABUBAAALAAAA&#10;AAAAAAAAAAAAAB8BAABfcmVscy8ucmVsc1BLAQItABQABgAIAAAAIQAiZJR0wgAAANoAAAAPAAAA&#10;AAAAAAAAAAAAAAcCAABkcnMvZG93bnJldi54bWxQSwUGAAAAAAMAAwC3AAAA9gIAAAAA&#10;" strokecolor="black [3200]" strokeweight="2.25pt">
                  <v:stroke joinstyle="miter"/>
                </v:line>
              </v:group>
            </w:pict>
          </mc:Fallback>
        </mc:AlternateContent>
      </w:r>
    </w:p>
    <w:p w:rsidR="00906548" w:rsidRDefault="00906548">
      <w:pPr>
        <w:pStyle w:val="a6"/>
        <w:ind w:leftChars="0" w:left="760"/>
        <w:jc w:val="left"/>
      </w:pPr>
    </w:p>
    <w:p w:rsidR="00906548" w:rsidRDefault="00906548">
      <w:pPr>
        <w:rPr>
          <w:b/>
        </w:rPr>
      </w:pPr>
    </w:p>
    <w:p w:rsidR="00906548" w:rsidRDefault="00EC0590">
      <w:pPr>
        <w:spacing w:line="192" w:lineRule="auto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 처방중재 활동 내역</w:t>
      </w:r>
    </w:p>
    <w:p w:rsidR="00906548" w:rsidRPr="00904C49" w:rsidRDefault="00EC0590">
      <w:pPr>
        <w:spacing w:line="192" w:lineRule="auto"/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</w:pP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 2023년 약제부 </w:t>
      </w:r>
      <w:r w:rsidRPr="00904C49"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  <w:t xml:space="preserve">QI </w:t>
      </w: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>활동의 일환으로,</w:t>
      </w:r>
      <w:r w:rsidRPr="00904C49"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  <w:t xml:space="preserve"> </w:t>
      </w: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처방중재 활동을 실시하고 있습니다. </w:t>
      </w:r>
      <w:r w:rsidRPr="00904C49"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  <w:t>4</w:t>
      </w: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월 한달 간 </w:t>
      </w:r>
    </w:p>
    <w:p w:rsidR="00906548" w:rsidRPr="00904C49" w:rsidRDefault="00EC0590">
      <w:pPr>
        <w:spacing w:line="192" w:lineRule="auto"/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</w:pP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>1</w:t>
      </w:r>
      <w:r w:rsidRPr="00904C49"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  <w:t>02</w:t>
      </w: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>건의 중재내역이 있었으며</w:t>
      </w:r>
      <w:r w:rsidRPr="00904C49"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  <w:t xml:space="preserve"> </w:t>
      </w:r>
      <w:r w:rsidRPr="00904C49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>세부사항은 다음과 같습니다.</w:t>
      </w:r>
    </w:p>
    <w:tbl>
      <w:tblPr>
        <w:tblpPr w:leftFromText="142" w:rightFromText="142" w:vertAnchor="text" w:tblpXSpec="center" w:tblpY="35"/>
        <w:tblW w:w="8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74"/>
        <w:gridCol w:w="1474"/>
        <w:gridCol w:w="1474"/>
        <w:gridCol w:w="1474"/>
        <w:gridCol w:w="1474"/>
        <w:gridCol w:w="1474"/>
      </w:tblGrid>
      <w:tr w:rsidR="00906548">
        <w:trPr>
          <w:trHeight w:val="245"/>
        </w:trPr>
        <w:tc>
          <w:tcPr>
            <w:tcW w:w="1474" w:type="dxa"/>
            <w:shd w:val="clear" w:color="auto" w:fill="D9D9D9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구분</w:t>
            </w:r>
          </w:p>
        </w:tc>
        <w:tc>
          <w:tcPr>
            <w:tcW w:w="1474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ER</w:t>
            </w:r>
          </w:p>
        </w:tc>
        <w:tc>
          <w:tcPr>
            <w:tcW w:w="1474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외래</w:t>
            </w:r>
          </w:p>
        </w:tc>
        <w:tc>
          <w:tcPr>
            <w:tcW w:w="1474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입원</w:t>
            </w:r>
          </w:p>
        </w:tc>
        <w:tc>
          <w:tcPr>
            <w:tcW w:w="1474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항암</w:t>
            </w:r>
          </w:p>
        </w:tc>
        <w:tc>
          <w:tcPr>
            <w:tcW w:w="1474" w:type="dxa"/>
            <w:shd w:val="clear" w:color="auto" w:fill="D9D9D9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총합계</w:t>
            </w:r>
          </w:p>
        </w:tc>
      </w:tr>
      <w:tr w:rsidR="00906548">
        <w:trPr>
          <w:trHeight w:val="245"/>
        </w:trPr>
        <w:tc>
          <w:tcPr>
            <w:tcW w:w="1474" w:type="dxa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ind w:right="200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건수</w:t>
            </w:r>
          </w:p>
        </w:tc>
        <w:tc>
          <w:tcPr>
            <w:tcW w:w="14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  <w:tc>
          <w:tcPr>
            <w:tcW w:w="14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15</w:t>
            </w:r>
          </w:p>
        </w:tc>
        <w:tc>
          <w:tcPr>
            <w:tcW w:w="14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75</w:t>
            </w:r>
          </w:p>
        </w:tc>
        <w:tc>
          <w:tcPr>
            <w:tcW w:w="14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9</w:t>
            </w:r>
          </w:p>
        </w:tc>
        <w:tc>
          <w:tcPr>
            <w:tcW w:w="1474" w:type="dxa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102</w:t>
            </w:r>
          </w:p>
        </w:tc>
      </w:tr>
    </w:tbl>
    <w:p w:rsidR="00906548" w:rsidRDefault="00906548">
      <w:pPr>
        <w:spacing w:line="192" w:lineRule="auto"/>
        <w:jc w:val="center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:rsidR="00906548" w:rsidRDefault="00906548">
      <w:pPr>
        <w:spacing w:line="192" w:lineRule="auto"/>
        <w:jc w:val="center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:rsidR="00906548" w:rsidRDefault="00EC0590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 xml:space="preserve"> </w:t>
      </w:r>
    </w:p>
    <w:p w:rsidR="00906548" w:rsidRDefault="00EC0590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1) 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진료과별 중재 발생 건수</w:t>
      </w:r>
    </w:p>
    <w:tbl>
      <w:tblPr>
        <w:tblW w:w="88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47"/>
        <w:gridCol w:w="1074"/>
        <w:gridCol w:w="3347"/>
        <w:gridCol w:w="1074"/>
      </w:tblGrid>
      <w:tr w:rsidR="00906548">
        <w:trPr>
          <w:trHeight w:val="269"/>
          <w:jc w:val="center"/>
        </w:trPr>
        <w:tc>
          <w:tcPr>
            <w:tcW w:w="3347" w:type="dxa"/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진료과</w:t>
            </w:r>
          </w:p>
        </w:tc>
        <w:tc>
          <w:tcPr>
            <w:tcW w:w="1074" w:type="dxa"/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건수</w:t>
            </w:r>
          </w:p>
        </w:tc>
        <w:tc>
          <w:tcPr>
            <w:tcW w:w="3347" w:type="dxa"/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진료과</w:t>
            </w:r>
          </w:p>
        </w:tc>
        <w:tc>
          <w:tcPr>
            <w:tcW w:w="1074" w:type="dxa"/>
            <w:shd w:val="clear" w:color="auto" w:fill="D9D9D9"/>
            <w:vAlign w:val="bottom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건수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소화기내과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19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신경과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혈관이식외과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11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응급의학과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종양내과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10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정신건강의학과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정형외과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9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갑상선내분비내과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유방외과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7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산부인과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심장내과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6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이비인후과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신경외과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5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재활의학과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인공신장실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5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신장내과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중환자외상외과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4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외과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감염내과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호흡기내과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</w:t>
            </w:r>
          </w:p>
        </w:tc>
      </w:tr>
      <w:tr w:rsidR="00906548">
        <w:trPr>
          <w:trHeight w:val="269"/>
          <w:jc w:val="center"/>
        </w:trPr>
        <w:tc>
          <w:tcPr>
            <w:tcW w:w="3347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내분비내과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</w:t>
            </w:r>
          </w:p>
        </w:tc>
        <w:tc>
          <w:tcPr>
            <w:tcW w:w="3347" w:type="dxa"/>
            <w:shd w:val="clear" w:color="auto" w:fill="D9D9D9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총합계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102</w:t>
            </w:r>
          </w:p>
        </w:tc>
      </w:tr>
    </w:tbl>
    <w:p w:rsidR="00906548" w:rsidRDefault="00EC0590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br w:type="page"/>
      </w:r>
    </w:p>
    <w:p w:rsidR="00906548" w:rsidRDefault="00EC0590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lastRenderedPageBreak/>
        <w:t xml:space="preserve"> 2) 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유형별 중재 발생 건수</w:t>
      </w:r>
    </w:p>
    <w:tbl>
      <w:tblPr>
        <w:tblpPr w:leftFromText="142" w:rightFromText="142" w:vertAnchor="text" w:tblpXSpec="center" w:tblpY="17"/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32"/>
        <w:gridCol w:w="1332"/>
        <w:gridCol w:w="1332"/>
        <w:gridCol w:w="1332"/>
        <w:gridCol w:w="1332"/>
        <w:gridCol w:w="1332"/>
        <w:gridCol w:w="1332"/>
      </w:tblGrid>
      <w:tr w:rsidR="00906548">
        <w:trPr>
          <w:trHeight w:val="391"/>
        </w:trPr>
        <w:tc>
          <w:tcPr>
            <w:tcW w:w="1332" w:type="dxa"/>
            <w:shd w:val="clear" w:color="auto" w:fill="D9D9D9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유형</w:t>
            </w:r>
          </w:p>
        </w:tc>
        <w:tc>
          <w:tcPr>
            <w:tcW w:w="1332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용법</w:t>
            </w:r>
          </w:p>
        </w:tc>
        <w:tc>
          <w:tcPr>
            <w:tcW w:w="1332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기타</w:t>
            </w:r>
          </w:p>
        </w:tc>
        <w:tc>
          <w:tcPr>
            <w:tcW w:w="1332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중복</w:t>
            </w:r>
          </w:p>
        </w:tc>
        <w:tc>
          <w:tcPr>
            <w:tcW w:w="1332" w:type="dxa"/>
            <w:shd w:val="clear" w:color="auto" w:fill="D9D9D9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용량</w:t>
            </w:r>
          </w:p>
        </w:tc>
        <w:tc>
          <w:tcPr>
            <w:tcW w:w="1332" w:type="dxa"/>
            <w:shd w:val="clear" w:color="auto" w:fill="D9D9D9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일수</w:t>
            </w:r>
          </w:p>
        </w:tc>
        <w:tc>
          <w:tcPr>
            <w:tcW w:w="1332" w:type="dxa"/>
            <w:shd w:val="clear" w:color="auto" w:fill="D9D9D9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b/>
                <w:kern w:val="0"/>
                <w:sz w:val="24"/>
                <w:szCs w:val="20"/>
              </w:rPr>
              <w:t>총합계</w:t>
            </w:r>
          </w:p>
        </w:tc>
      </w:tr>
      <w:tr w:rsidR="00906548">
        <w:trPr>
          <w:trHeight w:val="391"/>
        </w:trPr>
        <w:tc>
          <w:tcPr>
            <w:tcW w:w="1332" w:type="dxa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ind w:right="200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건수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31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22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22</w:t>
            </w:r>
          </w:p>
        </w:tc>
        <w:tc>
          <w:tcPr>
            <w:tcW w:w="1332" w:type="dxa"/>
            <w:shd w:val="clear" w:color="auto" w:fill="auto"/>
            <w:vAlign w:val="bottom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18</w:t>
            </w:r>
          </w:p>
        </w:tc>
        <w:tc>
          <w:tcPr>
            <w:tcW w:w="1332" w:type="dxa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9</w:t>
            </w:r>
          </w:p>
        </w:tc>
        <w:tc>
          <w:tcPr>
            <w:tcW w:w="1332" w:type="dxa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Arial"/>
                <w:kern w:val="0"/>
                <w:sz w:val="24"/>
                <w:szCs w:val="20"/>
              </w:rPr>
              <w:t>102</w:t>
            </w:r>
          </w:p>
        </w:tc>
      </w:tr>
    </w:tbl>
    <w:p w:rsidR="00906548" w:rsidRDefault="00906548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:rsidR="00906548" w:rsidRDefault="00EC0590">
      <w:pPr>
        <w:spacing w:line="192" w:lineRule="auto"/>
        <w:jc w:val="left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 xml:space="preserve"> </w:t>
      </w:r>
    </w:p>
    <w:p w:rsidR="00906548" w:rsidRDefault="00906548">
      <w:pPr>
        <w:spacing w:line="192" w:lineRule="auto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:rsidR="00906548" w:rsidRDefault="00EC0590">
      <w:pPr>
        <w:spacing w:line="192" w:lineRule="auto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222222"/>
          <w:kern w:val="0"/>
          <w:sz w:val="24"/>
          <w:szCs w:val="24"/>
        </w:rPr>
        <w:t xml:space="preserve">3) </w:t>
      </w:r>
      <w:r>
        <w:rPr>
          <w:rFonts w:ascii="맑은 고딕" w:eastAsia="맑은 고딕" w:hAnsi="맑은 고딕" w:cs="굴림" w:hint="eastAsia"/>
          <w:color w:val="222222"/>
          <w:kern w:val="0"/>
          <w:sz w:val="24"/>
          <w:szCs w:val="24"/>
        </w:rPr>
        <w:t>다빈도 중재 발생 약품 및 중재 사유</w:t>
      </w:r>
    </w:p>
    <w:tbl>
      <w:tblPr>
        <w:tblW w:w="10210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39"/>
        <w:gridCol w:w="678"/>
        <w:gridCol w:w="814"/>
        <w:gridCol w:w="6779"/>
      </w:tblGrid>
      <w:tr w:rsidR="00906548" w:rsidTr="00904C49">
        <w:trPr>
          <w:trHeight w:val="351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b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b/>
                <w:kern w:val="0"/>
                <w:sz w:val="24"/>
                <w:szCs w:val="24"/>
              </w:rPr>
              <w:t>약품</w:t>
            </w:r>
            <w:r w:rsidR="001E11EF">
              <w:rPr>
                <w:rFonts w:eastAsiaTheme="minorHAnsi" w:cs="Arial" w:hint="eastAsia"/>
                <w:b/>
                <w:kern w:val="0"/>
                <w:sz w:val="24"/>
                <w:szCs w:val="24"/>
              </w:rPr>
              <w:t>명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b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b/>
                <w:kern w:val="0"/>
                <w:sz w:val="24"/>
                <w:szCs w:val="24"/>
              </w:rPr>
              <w:t>유형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Arial"/>
                <w:b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b/>
                <w:kern w:val="0"/>
                <w:sz w:val="24"/>
                <w:szCs w:val="24"/>
              </w:rPr>
              <w:t>건수</w:t>
            </w:r>
          </w:p>
        </w:tc>
        <w:tc>
          <w:tcPr>
            <w:tcW w:w="7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b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b/>
                <w:kern w:val="0"/>
                <w:sz w:val="24"/>
                <w:szCs w:val="24"/>
              </w:rPr>
              <w:t>중재내용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 xml:space="preserve">가스터 디 정 </w:t>
            </w:r>
            <w:r w:rsidRPr="00904C49"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  <w:t>20mg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중복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4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PPI-H2 blocker 처방 중복(pariet, lanston LFDT), 처방삭제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Pr="00904C49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용법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2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1일 1회 복용 → 1일 2회 복용으로 중재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기타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퇴원약 멘트 있으나 응급약으로 처방. 처방 삭제 후 재처방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>유한 덱사메타손 정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용량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3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종양내과병동환자, 항암환자 상용량과 상이 중재 후 변경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용법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두통 심할 때 복용 멘트, 확인 문의 후 처방 유지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  <w:t xml:space="preserve">가스모틴 </w:t>
            </w: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>에스알 정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용법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4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1일 1회 복용으로 처방 변경 요청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 xml:space="preserve">에소메졸 캡슐 </w:t>
            </w:r>
            <w:r w:rsidRPr="00904C49"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  <w:t>20mg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용법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3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1일 1회 식전용법 안내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>뮤렉스 정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기타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3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원외 에페신SR 원내로 전환 과정에서 1.5*2*1 , 1*3*1 로 중재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Pr="00904C49" w:rsidRDefault="00904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</w:pPr>
            <w:r w:rsidRPr="00904C49">
              <w:rPr>
                <w:rFonts w:eastAsiaTheme="minorHAnsi" w:cs="Arial" w:hint="eastAsia"/>
                <w:color w:val="000000" w:themeColor="text1"/>
                <w:kern w:val="0"/>
                <w:sz w:val="24"/>
                <w:szCs w:val="24"/>
              </w:rPr>
              <w:t xml:space="preserve">씨잘 정 </w:t>
            </w:r>
            <w:r w:rsidRPr="00904C49">
              <w:rPr>
                <w:rFonts w:eastAsiaTheme="minorHAnsi" w:cs="Arial"/>
                <w:color w:val="000000" w:themeColor="text1"/>
                <w:kern w:val="0"/>
                <w:sz w:val="24"/>
                <w:szCs w:val="24"/>
              </w:rPr>
              <w:t>5mg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용법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2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1일 1회 복용으로 변경 요청</w:t>
            </w:r>
          </w:p>
        </w:tc>
      </w:tr>
      <w:tr w:rsidR="00906548" w:rsidTr="00904C49">
        <w:trPr>
          <w:trHeight w:val="331"/>
          <w:jc w:val="center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중복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1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Arial"/>
                <w:kern w:val="0"/>
                <w:sz w:val="24"/>
                <w:szCs w:val="24"/>
              </w:rPr>
            </w:pPr>
            <w:r>
              <w:rPr>
                <w:rFonts w:eastAsiaTheme="minorHAnsi" w:cs="Arial"/>
                <w:kern w:val="0"/>
                <w:sz w:val="24"/>
                <w:szCs w:val="24"/>
              </w:rPr>
              <w:t>처방 중복 입력</w:t>
            </w:r>
          </w:p>
        </w:tc>
      </w:tr>
    </w:tbl>
    <w:p w:rsidR="00906548" w:rsidRDefault="00906548">
      <w:pPr>
        <w:spacing w:line="192" w:lineRule="auto"/>
        <w:rPr>
          <w:rFonts w:ascii="맑은 고딕" w:eastAsia="맑은 고딕" w:hAnsi="맑은 고딕" w:cs="굴림"/>
          <w:color w:val="222222"/>
          <w:kern w:val="0"/>
          <w:sz w:val="24"/>
          <w:szCs w:val="24"/>
        </w:rPr>
      </w:pPr>
    </w:p>
    <w:p w:rsidR="001E11EF" w:rsidRDefault="001E11EF" w:rsidP="001E11EF">
      <w:pPr>
        <w:spacing w:line="192" w:lineRule="auto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■ </w:t>
      </w:r>
      <w:r>
        <w:rPr>
          <w:rFonts w:eastAsiaTheme="minorHAnsi" w:hint="eastAsia"/>
          <w:b/>
          <w:sz w:val="24"/>
          <w:szCs w:val="24"/>
        </w:rPr>
        <w:t xml:space="preserve">리즈톡스 주 </w:t>
      </w:r>
      <w:r>
        <w:rPr>
          <w:rFonts w:eastAsiaTheme="minorHAnsi"/>
          <w:b/>
          <w:sz w:val="24"/>
          <w:szCs w:val="24"/>
        </w:rPr>
        <w:t>100</w:t>
      </w:r>
      <w:r>
        <w:rPr>
          <w:rFonts w:eastAsiaTheme="minorHAnsi" w:hint="eastAsia"/>
          <w:b/>
          <w:sz w:val="24"/>
          <w:szCs w:val="24"/>
        </w:rPr>
        <w:t>단위 식약처 회수 및 폐기 명령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1E11EF" w:rsidTr="001E11EF">
        <w:tc>
          <w:tcPr>
            <w:tcW w:w="1838" w:type="dxa"/>
          </w:tcPr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>원내약</w:t>
            </w:r>
          </w:p>
        </w:tc>
        <w:tc>
          <w:tcPr>
            <w:tcW w:w="8618" w:type="dxa"/>
          </w:tcPr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 xml:space="preserve">리즈톡스 주 </w:t>
            </w:r>
            <w:r>
              <w:rPr>
                <w:rFonts w:eastAsiaTheme="minorHAnsi"/>
                <w:sz w:val="24"/>
                <w:szCs w:val="24"/>
              </w:rPr>
              <w:t>100</w:t>
            </w:r>
            <w:r>
              <w:rPr>
                <w:rFonts w:eastAsiaTheme="minorHAnsi" w:hint="eastAsia"/>
                <w:sz w:val="24"/>
                <w:szCs w:val="24"/>
              </w:rPr>
              <w:t xml:space="preserve">단위 </w:t>
            </w:r>
          </w:p>
        </w:tc>
      </w:tr>
      <w:tr w:rsidR="001E11EF" w:rsidTr="001E11EF">
        <w:tc>
          <w:tcPr>
            <w:tcW w:w="1838" w:type="dxa"/>
          </w:tcPr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>사유 및 조치</w:t>
            </w:r>
          </w:p>
        </w:tc>
        <w:tc>
          <w:tcPr>
            <w:tcW w:w="8618" w:type="dxa"/>
          </w:tcPr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>국가출하승인 없이 수출전용 의약품을 국내에 판매하고,</w:t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sz w:val="24"/>
                <w:szCs w:val="24"/>
              </w:rPr>
              <w:t xml:space="preserve">한글표시 없이 국내에 판매하여 </w:t>
            </w:r>
            <w:r>
              <w:rPr>
                <w:rFonts w:eastAsiaTheme="minorHAnsi"/>
                <w:sz w:val="24"/>
                <w:szCs w:val="24"/>
              </w:rPr>
              <w:t>2</w:t>
            </w:r>
            <w:r>
              <w:rPr>
                <w:rFonts w:eastAsiaTheme="minorHAnsi" w:hint="eastAsia"/>
                <w:sz w:val="24"/>
                <w:szCs w:val="24"/>
              </w:rPr>
              <w:t>등급 위해성 나목에 해당되는 것으로 판단됨.</w:t>
            </w:r>
          </w:p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→</w:t>
            </w:r>
            <w:r>
              <w:rPr>
                <w:rFonts w:eastAsiaTheme="minorHAnsi" w:hint="eastAsia"/>
                <w:sz w:val="24"/>
                <w:szCs w:val="24"/>
              </w:rPr>
              <w:t xml:space="preserve"> 원내 해당 품목 재고 회수 및 반품 조치하였음.</w:t>
            </w:r>
          </w:p>
          <w:p w:rsidR="001E11EF" w:rsidRDefault="001E11EF">
            <w:pPr>
              <w:widowControl/>
              <w:wordWrap/>
              <w:autoSpaceDE/>
              <w:autoSpaceDN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 w:hint="eastAsia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 xml:space="preserve">  </w:t>
            </w:r>
            <w:r>
              <w:rPr>
                <w:rFonts w:eastAsiaTheme="minorHAnsi" w:hint="eastAsia"/>
                <w:sz w:val="24"/>
                <w:szCs w:val="24"/>
              </w:rPr>
              <w:t>처방 불가하도록 코드 중단 조치하였음.</w:t>
            </w:r>
            <w:r>
              <w:rPr>
                <w:rFonts w:eastAsiaTheme="minorHAnsi"/>
                <w:sz w:val="24"/>
                <w:szCs w:val="24"/>
              </w:rPr>
              <w:t xml:space="preserve"> (20230602)</w:t>
            </w:r>
          </w:p>
        </w:tc>
      </w:tr>
    </w:tbl>
    <w:p w:rsidR="00906548" w:rsidRDefault="00EC0590">
      <w:pPr>
        <w:widowControl/>
        <w:wordWrap/>
        <w:autoSpaceDE/>
        <w:autoSpaceDN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br w:type="page"/>
      </w:r>
    </w:p>
    <w:p w:rsidR="00906548" w:rsidRDefault="00EC0590">
      <w:pPr>
        <w:rPr>
          <w:rFonts w:eastAsiaTheme="minorHAnsi"/>
          <w:b/>
          <w:sz w:val="22"/>
          <w:szCs w:val="24"/>
        </w:rPr>
      </w:pPr>
      <w:r>
        <w:rPr>
          <w:rFonts w:eastAsiaTheme="minorHAnsi"/>
          <w:b/>
          <w:noProof/>
          <w:sz w:val="22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margin">
                  <wp:posOffset>-38100</wp:posOffset>
                </wp:positionH>
                <wp:positionV relativeFrom="paragraph">
                  <wp:posOffset>19050</wp:posOffset>
                </wp:positionV>
                <wp:extent cx="6496050" cy="733425"/>
                <wp:effectExtent l="23859" t="23859" r="77740" b="7774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6050" cy="733425"/>
                          <a:chOff x="10508" y="-385452"/>
                          <a:chExt cx="5972175" cy="781050"/>
                        </a:xfrm>
                      </wpg:grpSpPr>
                      <wps:wsp>
                        <wps:cNvPr id="3" name="child 1"/>
                        <wps:cNvSpPr>
                          <a:spLocks/>
                        </wps:cNvSpPr>
                        <wps:spPr>
                          <a:xfrm>
                            <a:off x="10508" y="-385452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906548" w:rsidRDefault="00EC0590">
                              <w:pPr>
                                <w:jc w:val="left"/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신약</w:t>
                              </w:r>
                              <w:r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Review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2"/>
                        <wps:cNvCnPr/>
                        <wps:spPr>
                          <a:xfrm>
                            <a:off x="66675" y="297873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32" o:spid="_x0000_s1029" style="position:absolute;left:0;text-align:left;margin-left:-3pt;margin-top:1.5pt;width:511.5pt;height:57.75pt;z-index:251669504;mso-position-horizontal-relative:margin" coordorigin="105,-3854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sSBPQMAABoIAAAOAAAAZHJzL2Uyb0RvYy54bWy0VVtv0zAUfkfiP1h535KmSS/R2gltbEJC&#10;MG0gnl3HaaI5drDdpuXXc46dpJdpQgzRh8rH5/6d78RX17takC3XplJyEYwuo4BwyVReyfUi+P7t&#10;7mIWEGOpzKlQki+CPTfB9fL9u6u2yXisSiVyrgkEkSZrm0VQWttkYWhYyWtqLlXDJSgLpWtqQdTr&#10;MNe0hei1COMomoSt0nmjFePGwO2tVwZLF78oOLNfi8JwS8QigNqs+9fuf4X/4fKKZmtNm7JiXRn0&#10;DVXUtJKQdAh1Sy0lG129CFVXTCujCnvJVB2qoqgYdz1AN6PorJt7rTaN62WdtetmgAmgPcPpzWHZ&#10;l+2DJlUOs4vGcUAkrWFKpqQNdxeAT9usMzC7181T86B9k3D8rNizAXV4rkd5fTDeFbpGJ+iV7Bzw&#10;+wF4vrOEweUkmU+iFObDQDcdj5M49ZNhJYwP3UagBiqB+mI8S5M07vUfuxDpfBqPpmkXYob2aBLS&#10;zBfgyhzKahugmzkgav4N0SfEyw3KIFQdouMeTlZWIicjrAcTg0WPpDmG8UiDZqZD+wzAV5DoofwT&#10;DjRrtLH3XNUED4tAw4446tLtZ2M9ZL0Jzk2qu0oIuKeZkCcXgK2/4W7RwNvNeWO5firzlqzERj9S&#10;oBaMLoLh5hXmG8NsnABbGE8j/AWEijV8PqwIiFb2R2VLhyjyBENiOTdCky2FLV4Jyp59waIpqb9M&#10;XJhD8WDtZq/6Ypx0VCfQoUcYT3a32vkt6Ie0Uvke5gjlOM7CJw4OpdK/AtLC5wJ25OeGah4Q8UkC&#10;e+ajJIE+rBOSdBqDoI81q2MNlQxCLQJmtetEqg8bq4rKwY/1+OxuuRxRPXH+O2OTU8a6JcNygLE3&#10;8kF3/H2FmJPJBPcPVjSeT2fTMSJJs4GX0yhN+v2cp37Bh+18wUpRSVwomr3CSiFJC4lmKYREM6NE&#10;lSNRnYCvBx8Ykz+71YNkR1Ydec94YOxecAwh5CMvgBH46fEJTmNSxri0fVxnjW4FVDA4evK6p+xQ&#10;zKljZ4+unpx/4zx4uMxK2sG5rqTyzDrLfoCi8PYdxbq+D9TDVUIJKOdO7gGC08kLdyw7q8OTvvwN&#10;AAD//wMAUEsDBBQABgAIAAAAIQA9Ptht3wAAAAkBAAAPAAAAZHJzL2Rvd25yZXYueG1sTI9Ba8JA&#10;EIXvhf6HZQq96WYrWonZiEjbkxSqheJtzY5JMDsbsmsS/33HU3uaN7zhzfey9ega0WMXak8a1DQB&#10;gVR4W1Op4fvwPlmCCNGQNY0n1HDDAOv88SEzqfUDfWG/j6XgEAqp0VDF2KZShqJCZ8LUt0jsnX3n&#10;TOS1K6XtzMDhrpEvSbKQztTEHyrT4rbC4rK/Og0fgxk2M/XW7y7n7e14mH/+7BRq/fw0blYgIo7x&#10;7xju+IwOOTOd/JVsEI2GyYKrRA0zHnc7Ua+sTqzUcg4yz+T/BvkvAAAA//8DAFBLAQItABQABgAI&#10;AAAAIQC2gziS/gAAAOEBAAATAAAAAAAAAAAAAAAAAAAAAABbQ29udGVudF9UeXBlc10ueG1sUEsB&#10;Ai0AFAAGAAgAAAAhADj9If/WAAAAlAEAAAsAAAAAAAAAAAAAAAAALwEAAF9yZWxzLy5yZWxzUEsB&#10;Ai0AFAAGAAgAAAAhAF9exIE9AwAAGggAAA4AAAAAAAAAAAAAAAAALgIAAGRycy9lMm9Eb2MueG1s&#10;UEsBAi0AFAAGAAgAAAAhAD0+2G3fAAAACQEAAA8AAAAAAAAAAAAAAAAAlwUAAGRycy9kb3ducmV2&#10;LnhtbFBLBQYAAAAABAAEAPMAAACjBgAAAAA=&#10;">
                <v:rect id="child 1" o:spid="_x0000_s1030" style="position:absolute;left:105;top:-3854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vLdxgAAANoAAAAPAAAAZHJzL2Rvd25yZXYueG1sRI9BawIx&#10;FITvQv9DeAUvolm1tLI1ShEFoWipevH2unndLG5elk1cV399IxQ8DjPzDTOdt7YUDdW+cKxgOEhA&#10;EGdOF5wrOOxX/QkIH5A1lo5JwZU8zGdPnSmm2l34m5pdyEWEsE9RgQmhSqX0mSGLfuAq4uj9utpi&#10;iLLOpa7xEuG2lKMkeZUWC44LBitaGMpOu7NV8Lb9vI2PTe9rf/15MYfbZLnJeielus/txzuIQG14&#10;hP/ba61gDPcr8QbI2R8AAAD//wMAUEsBAi0AFAAGAAgAAAAhANvh9svuAAAAhQEAABMAAAAAAAAA&#10;AAAAAAAAAAAAAFtDb250ZW50X1R5cGVzXS54bWxQSwECLQAUAAYACAAAACEAWvQsW78AAAAVAQAA&#10;CwAAAAAAAAAAAAAAAAAfAQAAX3JlbHMvLnJlbHNQSwECLQAUAAYACAAAACEATmLy3cYAAADaAAAA&#10;DwAAAAAAAAAAAAAAAAAHAgAAZHJzL2Rvd25yZXYueG1sUEsFBgAAAAADAAMAtwAAAPoCAAAAAA==&#10;" filled="f" stroked="f">
                  <v:shadow on="t" color="black" opacity="26214f" origin="-.5,-.5" offset=".74836mm,.74836mm"/>
                  <v:textbox>
                    <w:txbxContent>
                      <w:p w:rsidR="00906548" w:rsidRDefault="00EC0590">
                        <w:pPr>
                          <w:jc w:val="left"/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신약</w:t>
                        </w:r>
                        <w:r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Review </w:t>
                        </w:r>
                      </w:p>
                    </w:txbxContent>
                  </v:textbox>
                </v:rect>
                <v:line id="child 2" o:spid="_x0000_s1031" style="position:absolute;visibility:visible;mso-wrap-style:square" from="666,2978" to="57721,3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ambwgAAANoAAAAPAAAAZHJzL2Rvd25yZXYueG1sRI9Ra8JA&#10;EITfC/6HYwXf6sYipURPUUGqlj6Y+APW3JoEc3shd2r8971CoY/DzHzDzJe9bdSdO1870TAZJ6BY&#10;CmdqKTWc8u3rBygfSAw1TljDkz0sF4OXOaXGPeTI9yyUKkLEp6ShCqFNEX1RsSU/di1L9C6usxSi&#10;7Eo0HT0i3Db4liTvaKmWuFBRy5uKi2t2sxq+P8+YPWuzmmBjb4cvzNeHfa71aNivZqAC9+E//Nfe&#10;GQ1T+L0SbwAufgAAAP//AwBQSwECLQAUAAYACAAAACEA2+H2y+4AAACFAQAAEwAAAAAAAAAAAAAA&#10;AAAAAAAAW0NvbnRlbnRfVHlwZXNdLnhtbFBLAQItABQABgAIAAAAIQBa9CxbvwAAABUBAAALAAAA&#10;AAAAAAAAAAAAAB8BAABfcmVscy8ucmVsc1BLAQItABQABgAIAAAAIQDCwambwgAAANoAAAAPAAAA&#10;AAAAAAAAAAAAAAcCAABkcnMvZG93bnJldi54bWxQSwUGAAAAAAMAAwC3AAAA9gIAAAAA&#10;" strokecolor="black [3200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:rsidR="00906548" w:rsidRDefault="00906548">
      <w:pPr>
        <w:jc w:val="left"/>
      </w:pP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/>
          <w:b/>
          <w:bCs/>
          <w:noProof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hidden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66040</wp:posOffset>
                </wp:positionV>
                <wp:extent cx="4210050" cy="460375"/>
                <wp:effectExtent l="4762" t="4762" r="4762" b="4762"/>
                <wp:wrapNone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10050" cy="460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06548" w:rsidRDefault="00EC0590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/>
                                <w:sz w:val="28"/>
                              </w:rPr>
                              <w:t>Rolontis pfs inj (Eflapegrastim)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35" o:spid="_x0000_s1032" style="position:absolute;margin-left:0;margin-top:5.2pt;width:331.5pt;height:36.25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4y/AQIAABYEAAAOAAAAZHJzL2Uyb0RvYy54bWysU9tuEzEQfUfiHyy/k92k2bassqkQVRFS&#10;oZUKH+B4vVkL22PGTnbD1zN20nShb4gXy3PxmZkzx6ub0Rq2Vxg0uIbPZyVnyklotds2/Pu3u3fX&#10;nIUoXCsMONXwgwr8Zv32zWrwtVpAD6ZVyAjEhXrwDe9j9HVRBNkrK8IMvHIU7ACtiGTitmhRDIRu&#10;TbEoy8tiAGw9glQhkPf2GOTrjN91SsaHrgsqMtNw6i3mE/O5SWexXol6i8L3Wp7aEP/QhRXaUdEz&#10;1K2Igu1Qv4KyWiIE6OJMgi2g67RUeQaaZl7+Nc1TL7zKsxA5wZ9pCv8PVn7dPyLTLe2uvKg4c8LS&#10;lkIqnB3Ez+BDTWlP/hHThMHfg/wRKFD8EUlGOOWMHdqUS/OxMZN9OJOtxsgkOZeLeVlWtBNJseVl&#10;eXFVpW0Uon5+7THETwosS5eGIy0zcyz29yEeU59TcmNgdHunjclGEpD6aJDtBa1eSKlcrPJzs7Nf&#10;oD36r6qyzCKgsllz6UluIkzRjHtdALebMzyBTHCmL62OpG+jbcOvp0kJMfN3pCyRF8fNmDexSDwk&#10;zwbaA20H4Shb+mZ06QF/cTaQZGlPP3cCFWfmsyNNvJ8vl0nj2VhWVwsycBrZTCPCSYJq+JFTBx92&#10;ETqdeX2pfWqSxJdJOX2UpO6pnbNevvP6NwAAAP//AwBQSwMEFAAGAAgAAAAhAAWZi+jZAAAABgEA&#10;AA8AAABkcnMvZG93bnJldi54bWxMj8FOwzAQRO9I/IO1SNyo3YKiJo1TIaR+AKUHuG1jk1i112ns&#10;tOnfs5zgODOrmbf1dg5eXOyYXCQNy4UCYamNxlGn4fCxe1qDSBnJoI9kNdxsgm1zf1djZeKV3u1l&#10;nzvBJZQq1NDnPFRSpra3AdMiDpY4+45jwMxy7KQZ8crlwcuVUoUM6IgXehzsW2/b034KGmjpboVP&#10;Lk9l3H2p8nDGz+6s9ePD/LoBke2c/47hF5/RoWGmY5zIJOE18COZXfUCgtOieGbjqGG9KkE2tfyP&#10;3/wAAAD//wMAUEsBAi0AFAAGAAgAAAAhALaDOJL+AAAA4QEAABMAAAAAAAAAAAAAAAAAAAAAAFtD&#10;b250ZW50X1R5cGVzXS54bWxQSwECLQAUAAYACAAAACEAOP0h/9YAAACUAQAACwAAAAAAAAAAAAAA&#10;AAAvAQAAX3JlbHMvLnJlbHNQSwECLQAUAAYACAAAACEAmnOMvwECAAAWBAAADgAAAAAAAAAAAAAA&#10;AAAuAgAAZHJzL2Uyb0RvYy54bWxQSwECLQAUAAYACAAAACEABZmL6NkAAAAGAQAADwAAAAAAAAAA&#10;AAAAAABbBAAAZHJzL2Rvd25yZXYueG1sUEsFBgAAAAAEAAQA8wAAAGEFAAAAAA==&#10;" fillcolor="#2e74b5 [2408]">
                <v:path arrowok="t"/>
                <v:textbox>
                  <w:txbxContent>
                    <w:p w:rsidR="00906548" w:rsidRDefault="00EC0590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color w:val="FFFFFF"/>
                          <w:sz w:val="28"/>
                        </w:rPr>
                        <w:t>Rolontis pfs inj (Eflapegrastim)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06548" w:rsidRDefault="00906548">
      <w:pPr>
        <w:wordWrap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>
        <w:rPr>
          <w:rFonts w:ascii="맑은 고딕" w:eastAsia="맑은 고딕" w:hAnsi="맑은 고딕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729920" behindDoc="1" locked="0" layoutInCell="1" hidden="0" allowOverlap="1">
            <wp:simplePos x="0" y="0"/>
            <wp:positionH relativeFrom="margin">
              <wp:posOffset>3759835</wp:posOffset>
            </wp:positionH>
            <wp:positionV relativeFrom="paragraph">
              <wp:posOffset>202565</wp:posOffset>
            </wp:positionV>
            <wp:extent cx="3019425" cy="1268935"/>
            <wp:effectExtent l="0" t="0" r="0" b="0"/>
            <wp:wrapNone/>
            <wp:docPr id="1036" name="shape10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268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NanumGothic" w:hAnsi="NanumGothic" w:cs="NanumGothic" w:hint="eastAsia"/>
          <w:b/>
          <w:bCs/>
          <w:color w:val="000000"/>
          <w:kern w:val="0"/>
          <w:szCs w:val="20"/>
        </w:rPr>
        <w:t>1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r>
        <w:rPr>
          <w:rFonts w:ascii="NanumGothic" w:hAnsi="NanumGothic" w:cs="NanumGothic"/>
          <w:b/>
          <w:bCs/>
          <w:kern w:val="0"/>
          <w:szCs w:val="20"/>
        </w:rPr>
        <w:t>약효분류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FFFFF"/>
        </w:rPr>
        <w:t>기타의 혈액 및 체액용약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(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FFFFF"/>
        </w:rPr>
        <w:t>지지요법 약물)</w:t>
      </w:r>
      <w:r>
        <w:rPr>
          <w:rFonts w:ascii="맑은 고딕" w:eastAsia="맑은 고딕" w:hAnsi="맑은 고딕"/>
          <w:noProof/>
          <w:color w:val="000000"/>
          <w:sz w:val="18"/>
          <w:szCs w:val="18"/>
        </w:rPr>
        <w:t xml:space="preserve"> </w:t>
      </w:r>
    </w:p>
    <w:p w:rsidR="00906548" w:rsidRDefault="00EC0590">
      <w:pPr>
        <w:wordWrap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r>
        <w:rPr>
          <w:rFonts w:ascii="NanumGothic" w:hAnsi="NanumGothic" w:cs="NanumGothic"/>
          <w:b/>
          <w:bCs/>
          <w:kern w:val="0"/>
          <w:szCs w:val="20"/>
        </w:rPr>
        <w:t>성분</w:t>
      </w:r>
      <w:r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/>
          <w:color w:val="000000"/>
          <w:szCs w:val="20"/>
        </w:rPr>
        <w:t>Eflapegrastim 13.2㎎/0.6㎖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eastAsiaTheme="minorHAnsi" w:cs="NanumGothic"/>
          <w:b/>
          <w:bCs/>
          <w:kern w:val="0"/>
          <w:szCs w:val="20"/>
        </w:rPr>
        <w:t xml:space="preserve">3. 성상 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bCs/>
          <w:color w:val="000000"/>
          <w:szCs w:val="20"/>
        </w:rPr>
      </w:pPr>
      <w:r>
        <w:rPr>
          <w:rFonts w:ascii="맑은 고딕" w:eastAsia="맑은 고딕" w:hAnsi="맑은 고딕" w:hint="eastAsia"/>
          <w:bCs/>
          <w:color w:val="000000"/>
          <w:szCs w:val="20"/>
        </w:rPr>
        <w:t>무색투명한</w:t>
      </w:r>
      <w:r>
        <w:rPr>
          <w:rFonts w:ascii="맑은 고딕" w:eastAsia="맑은 고딕" w:hAnsi="맑은 고딕"/>
          <w:bCs/>
          <w:color w:val="000000"/>
          <w:szCs w:val="20"/>
        </w:rPr>
        <w:t xml:space="preserve"> 용액이 주사침이 달린 무색투명한 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bCs/>
          <w:color w:val="000000"/>
          <w:szCs w:val="20"/>
        </w:rPr>
      </w:pPr>
      <w:r>
        <w:rPr>
          <w:rFonts w:ascii="맑은 고딕" w:eastAsia="맑은 고딕" w:hAnsi="맑은 고딕"/>
          <w:bCs/>
          <w:color w:val="000000"/>
          <w:szCs w:val="20"/>
        </w:rPr>
        <w:t>유리프리필드시린지에 든 주사제</w:t>
      </w:r>
      <w:r>
        <w:rPr>
          <w:rFonts w:ascii="맑은 고딕" w:eastAsia="맑은 고딕" w:hAnsi="맑은 고딕" w:hint="eastAsia"/>
          <w:bCs/>
          <w:color w:val="000000"/>
          <w:szCs w:val="20"/>
        </w:rPr>
        <w:t xml:space="preserve"> 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eastAsiaTheme="minorHAnsi" w:cs="NanumGothic"/>
          <w:b/>
          <w:bCs/>
          <w:kern w:val="0"/>
          <w:szCs w:val="20"/>
        </w:rPr>
        <w:t>4. 약리작용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재조합</w:t>
      </w:r>
      <w:r>
        <w:rPr>
          <w:rFonts w:ascii="맑은 고딕" w:eastAsia="맑은 고딕" w:hAnsi="맑은 고딕"/>
          <w:color w:val="000000"/>
          <w:szCs w:val="20"/>
        </w:rPr>
        <w:t xml:space="preserve"> G-CSF으로, 재조합 인간 IgG Fc 단편을 Fc 단편과 접합하여 반감기를 연장한 약물임. 골수성 전구세포와 호중구의 G-CSF 수용체에 결합하여 세포 분화, 증식, 이동 및 생존 조절 신호전달 경로를 유발함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eastAsiaTheme="minorHAnsi" w:cs="NanumGothic"/>
          <w:b/>
          <w:bCs/>
          <w:kern w:val="0"/>
          <w:szCs w:val="20"/>
        </w:rPr>
        <w:t>5. 적응증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항암</w:t>
      </w:r>
      <w:r>
        <w:rPr>
          <w:rFonts w:ascii="맑은 고딕" w:eastAsia="맑은 고딕" w:hAnsi="맑은 고딕"/>
          <w:color w:val="000000"/>
          <w:szCs w:val="20"/>
        </w:rPr>
        <w:t xml:space="preserve"> 화학요법에 의한 호중구 감소증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(임상적으로</w:t>
      </w:r>
      <w:r>
        <w:rPr>
          <w:rFonts w:ascii="맑은 고딕" w:eastAsia="맑은 고딕" w:hAnsi="맑은 고딕"/>
          <w:color w:val="000000"/>
          <w:szCs w:val="20"/>
        </w:rPr>
        <w:t xml:space="preserve"> 유의한 열성 호중구 감소증 발생 관련 골수 억제 항암제를 투여 받는 비골수성 악성 종양 환자에게서 열성 호중구 감소증으로 나타나는 감염 감소)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NanumGothic"/>
          <w:b/>
          <w:bCs/>
          <w:kern w:val="0"/>
          <w:szCs w:val="20"/>
        </w:rPr>
      </w:pPr>
      <w:r>
        <w:rPr>
          <w:rFonts w:eastAsiaTheme="minorHAnsi" w:cs="NanumGothic"/>
          <w:b/>
          <w:bCs/>
          <w:kern w:val="0"/>
          <w:szCs w:val="20"/>
        </w:rPr>
        <w:t>6. 용법</w:t>
      </w:r>
      <w:r>
        <w:rPr>
          <w:rFonts w:eastAsiaTheme="minorHAnsi" w:cs="맑은 고딕"/>
          <w:b/>
          <w:bCs/>
          <w:kern w:val="0"/>
          <w:szCs w:val="20"/>
        </w:rPr>
        <w:t>∙</w:t>
      </w:r>
      <w:r>
        <w:rPr>
          <w:rFonts w:eastAsiaTheme="minorHAnsi" w:cs="NanumGothic"/>
          <w:b/>
          <w:bCs/>
          <w:kern w:val="0"/>
          <w:szCs w:val="20"/>
        </w:rPr>
        <w:t>용량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>
        <w:rPr>
          <w:rFonts w:ascii="맑은 고딕" w:eastAsia="맑은 고딕" w:hAnsi="맑은 고딕" w:hint="eastAsia"/>
          <w:color w:val="000000"/>
          <w:kern w:val="0"/>
          <w:szCs w:val="20"/>
        </w:rPr>
        <w:t>이</w:t>
      </w:r>
      <w:r>
        <w:rPr>
          <w:rFonts w:ascii="맑은 고딕" w:eastAsia="맑은 고딕" w:hAnsi="맑은 고딕"/>
          <w:color w:val="000000"/>
          <w:szCs w:val="20"/>
        </w:rPr>
        <w:t xml:space="preserve"> 약 13.2mg(rh-GCSF 유사체로서 3.6mg)을 항암화학요법 이후 약 24시간 후에 피하주사한다.</w:t>
      </w:r>
      <w:r>
        <w:rPr>
          <w:rFonts w:eastAsiaTheme="minorHAnsi" w:cs="NanumGothic"/>
          <w:kern w:val="0"/>
          <w:szCs w:val="20"/>
        </w:rPr>
        <w:t>.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eastAsiaTheme="minorHAnsi" w:cs="NanumGothic"/>
          <w:b/>
          <w:bCs/>
          <w:kern w:val="0"/>
          <w:szCs w:val="20"/>
        </w:rPr>
        <w:t>7. 약물동력학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분포</w:t>
      </w:r>
      <w:r>
        <w:rPr>
          <w:rFonts w:ascii="NanumGothic" w:hAnsi="NanumGothic" w:cs="NanumGothic"/>
          <w:kern w:val="0"/>
          <w:szCs w:val="20"/>
        </w:rPr>
        <w:t>] Vd 1.44 L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NanumGothic" w:hAnsi="NanumGothic" w:cs="NanumGothic"/>
          <w:color w:val="000000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대사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G-CSF 수용체를 가진 세포에 내재화되며, 내인성 분해를 통해 대사될 것으로 예상됨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청소율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반복 투여시 호중구 수 증가로 인해 증가할 수 있음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배설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소변에서 검출되지 않음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/>
          <w:kern w:val="0"/>
          <w:szCs w:val="20"/>
        </w:rPr>
        <w:t>반감기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36.4시간(범위: 16.1-115시간)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/>
          <w:kern w:val="0"/>
          <w:szCs w:val="20"/>
        </w:rPr>
        <w:t>최대혈중농도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도달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시간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25시간(범위: 6-144시간)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>
        <w:rPr>
          <w:rFonts w:ascii="NanumGothic" w:hAnsi="NanumGothic" w:cs="NanumGothic"/>
          <w:b/>
          <w:bCs/>
          <w:kern w:val="0"/>
          <w:szCs w:val="20"/>
        </w:rPr>
        <w:t>이상반응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피로,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오심,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설사</w:t>
      </w:r>
      <w:r>
        <w:rPr>
          <w:rFonts w:ascii="맑은 고딕" w:eastAsia="맑은 고딕" w:hAnsi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hint="eastAsia"/>
          <w:color w:val="000000"/>
          <w:szCs w:val="20"/>
        </w:rPr>
        <w:t>발열,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두통,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피부 발진,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빈혈,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말초 부종</w:t>
      </w:r>
      <w:r>
        <w:rPr>
          <w:rFonts w:ascii="맑은 고딕" w:eastAsia="맑은 고딕" w:hAnsi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hint="eastAsia"/>
          <w:color w:val="000000"/>
          <w:szCs w:val="20"/>
        </w:rPr>
        <w:t>복통,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현기증,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호흡곤란,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기침 등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근골격신경계: 관절통(21%), 요통(20%), 하퇴 통증(11%), 근육통(22%), 뼈통증(38%)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혈액 및 종양: 빈혈(25%), 혈소판 감소증(14%)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>
        <w:rPr>
          <w:rFonts w:ascii="NanumGothic" w:hAnsi="NanumGothic" w:cs="NanumGothic"/>
          <w:b/>
          <w:bCs/>
          <w:kern w:val="0"/>
          <w:szCs w:val="20"/>
        </w:rPr>
        <w:t>금기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이 약의 주성분, 페그필그라스팀, 필그라스팀 또는 이 약의 첨가제에 과민증이 있는 환자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b/>
          <w:bCs/>
          <w:kern w:val="0"/>
          <w:szCs w:val="20"/>
        </w:rPr>
        <w:t xml:space="preserve">10. </w:t>
      </w:r>
      <w:r>
        <w:rPr>
          <w:rFonts w:ascii="NanumGothic" w:hAnsi="NanumGothic" w:cs="NanumGothic"/>
          <w:b/>
          <w:bCs/>
          <w:kern w:val="0"/>
          <w:szCs w:val="20"/>
        </w:rPr>
        <w:t>임부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/>
          <w:bCs/>
          <w:kern w:val="0"/>
          <w:szCs w:val="20"/>
        </w:rPr>
        <w:t>및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/>
          <w:bCs/>
          <w:kern w:val="0"/>
          <w:szCs w:val="20"/>
        </w:rPr>
        <w:t>수유부에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/>
          <w:bCs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/>
          <w:bCs/>
          <w:kern w:val="0"/>
          <w:szCs w:val="20"/>
        </w:rPr>
        <w:t>투여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1) 임부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임부에 관한 적절하고 잘 관리된 연구는 없다. 이 약의 임신 중의 투여에 관한 안전성은 확립되어 있지 않으므로 임부 또는 임신하고 있을 가능성이 있는 여성에게는 권장되지 않는다.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임신 중인 여성 또는 적절한 피임을 하지 않은 여성에게는 잠재적인 이익이 태아에 대한 잠재적인 위험성을 상회한다고 판단되는 경우에만 투여해야 한다.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2) 수유부 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이 약과 대사체가 모유로 이행되는지 여부에 대해서는 알려져 있지 않다. 이 약을 투여하는 동안 수유는 권장되지 않는다.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b/>
          <w:kern w:val="0"/>
          <w:szCs w:val="20"/>
        </w:rPr>
      </w:pPr>
      <w:r>
        <w:rPr>
          <w:rFonts w:ascii="NanumGothic" w:hAnsi="NanumGothic" w:cs="NanumGothic" w:hint="eastAsia"/>
          <w:b/>
          <w:kern w:val="0"/>
          <w:szCs w:val="20"/>
        </w:rPr>
        <w:lastRenderedPageBreak/>
        <w:t>1</w:t>
      </w:r>
      <w:r>
        <w:rPr>
          <w:rFonts w:ascii="NanumGothic" w:hAnsi="NanumGothic" w:cs="NanumGothic"/>
          <w:b/>
          <w:kern w:val="0"/>
          <w:szCs w:val="20"/>
        </w:rPr>
        <w:t xml:space="preserve">1. </w:t>
      </w:r>
      <w:r>
        <w:rPr>
          <w:rFonts w:ascii="NanumGothic" w:hAnsi="NanumGothic" w:cs="NanumGothic" w:hint="eastAsia"/>
          <w:b/>
          <w:kern w:val="0"/>
          <w:szCs w:val="20"/>
        </w:rPr>
        <w:t>유</w:t>
      </w:r>
      <w:r>
        <w:rPr>
          <w:rFonts w:ascii="NanumGothic" w:hAnsi="NanumGothic" w:cs="NanumGothic" w:hint="eastAsia"/>
          <w:b/>
          <w:kern w:val="0"/>
          <w:szCs w:val="20"/>
        </w:rPr>
        <w:t>/</w:t>
      </w:r>
      <w:r>
        <w:rPr>
          <w:rFonts w:ascii="NanumGothic" w:hAnsi="NanumGothic" w:cs="NanumGothic" w:hint="eastAsia"/>
          <w:b/>
          <w:kern w:val="0"/>
          <w:szCs w:val="20"/>
        </w:rPr>
        <w:t>소아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고령자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신장애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간장애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환자에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투여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유</w:t>
      </w:r>
      <w:r>
        <w:rPr>
          <w:rFonts w:ascii="NanumGothic" w:hAnsi="NanumGothic" w:cs="NanumGothic" w:hint="eastAsia"/>
          <w:kern w:val="0"/>
          <w:szCs w:val="20"/>
        </w:rPr>
        <w:t>/</w:t>
      </w:r>
      <w:r>
        <w:rPr>
          <w:rFonts w:ascii="NanumGothic" w:hAnsi="NanumGothic" w:cs="NanumGothic" w:hint="eastAsia"/>
          <w:kern w:val="0"/>
          <w:szCs w:val="20"/>
        </w:rPr>
        <w:t>소아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18세 미만의 소아 환자에 있어 이 약의 안전성 및 유효성은 확립되어 있지 않다.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고령자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65세 이상의 고령자에 이 약을 투여할 때 용량조절이 필요하지 않다.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color w:val="000000"/>
          <w:kern w:val="0"/>
          <w:szCs w:val="20"/>
          <w:shd w:val="clear" w:color="auto" w:fill="F0F0F0"/>
        </w:rPr>
        <w:t>[</w:t>
      </w:r>
      <w:r>
        <w:rPr>
          <w:rFonts w:ascii="NanumGothic" w:hAnsi="NanumGothic" w:cs="NanumGothic" w:hint="eastAsia"/>
          <w:kern w:val="0"/>
          <w:szCs w:val="20"/>
        </w:rPr>
        <w:t>신장애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신장애 환자에 있어 이 약의 안전성 및 유효성은 확립되어 있지 않다.</w:t>
      </w:r>
    </w:p>
    <w:p w:rsidR="00906548" w:rsidRDefault="00EC0590">
      <w:pPr>
        <w:wordWrap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NanumGothic" w:hAnsi="NanumGothic" w:cs="NanumGothic" w:hint="eastAsia"/>
          <w:color w:val="000000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간장애</w:t>
      </w:r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간기능 장애 환자에 있어 이 약의 안전성 및 유효성은 확립되어 있지 않다.</w:t>
      </w:r>
    </w:p>
    <w:p w:rsidR="00906548" w:rsidRDefault="00EC0590">
      <w:pPr>
        <w:wordWrap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:rsidR="00906548" w:rsidRDefault="00EC0590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밀봉용기, 차광하여 냉장보관(2∼8℃)</w:t>
      </w:r>
    </w:p>
    <w:p w:rsidR="00906548" w:rsidRDefault="00906548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</w:p>
    <w:p w:rsidR="00906548" w:rsidRDefault="00906548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</w:p>
    <w:p w:rsidR="00906548" w:rsidRDefault="00EC0590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>
        <w:rPr>
          <w:rFonts w:eastAsiaTheme="minorHAnsi" w:cs="MalgunGothicBold"/>
          <w:b/>
          <w:bCs/>
          <w:color w:val="000000"/>
          <w:kern w:val="0"/>
          <w:szCs w:val="20"/>
          <w:u w:val="single"/>
        </w:rPr>
        <w:t>R</w:t>
      </w:r>
      <w:r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t>KIMS POC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t>약학정보원</w:t>
      </w: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br w:type="page"/>
      </w:r>
    </w:p>
    <w:p w:rsidR="00906548" w:rsidRDefault="00EC0590">
      <w:pPr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noProof/>
          <w:kern w:val="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-152400</wp:posOffset>
                </wp:positionV>
                <wp:extent cx="6581775" cy="781050"/>
                <wp:effectExtent l="23859" t="23859" r="77740" b="7774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81775" cy="781050"/>
                          <a:chOff x="0" y="-9525"/>
                          <a:chExt cx="5972175" cy="781050"/>
                        </a:xfrm>
                      </wpg:grpSpPr>
                      <wps:wsp>
                        <wps:cNvPr id="5" name="child 1"/>
                        <wps:cNvSpPr>
                          <a:spLocks/>
                        </wps:cNvSpPr>
                        <wps:spPr>
                          <a:xfrm>
                            <a:off x="0" y="-95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906548" w:rsidRDefault="00EC0590">
                              <w:pPr>
                                <w:jc w:val="left"/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37" o:spid="_x0000_s1033" style="position:absolute;margin-left:-3.75pt;margin-top:-12pt;width:518.25pt;height:61.5pt;z-index:251673600;mso-position-horizontal-relative:margin" coordorigin=",-9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kgnMgMAAA4IAAAOAAAAZHJzL2Uyb0RvYy54bWy0VVtv0zAUfkfiP1h+35Je0rTR2gltbEKa&#10;YNpAPLuO00Rz7GC7Tcev5/jk1nZMiCHyEPnY5/qd79gXl/tSkp0wttBqSUfnISVCcZ0WarOk377e&#10;nM0psY6plEmtxJI+C0svV+/fXdRVIsY61zIVhoATZZO6WtLcuSoJAstzUTJ7riuh4DDTpmQORLMJ&#10;UsNq8F7KYByGs6DWJq2M5sJa2L1uDukK/WeZ4O5LllnhiFxSyM3h3+B/7f/B6oIlG8OqvOBtGuwN&#10;WZSsUBC0d3XNHCNbU7xwVRbcaKszd851GegsK7jAGqCaUXhSza3R2wpr2ST1puphAmhPcHqzW/55&#10;d29IkULvwklMiWIldMnmrBK4AfjU1SYBtVtTPVb3pikSlneaP1k4Dk7PvbwZlPeZKb0R1Er2CPxz&#10;D7zYO8JhcxbNR3EcUcLhLJ6PwqjtDM+hfYPZ2SIaR03PeP6xNY4W8Xj00jhgSRMaE+wTqisgmh2w&#10;tP+G5aNHCltkPUgtllBJAyTPC5mSkU/ZBwaNDkN7CODBiVezLc6/he4Agw6+PyHAkspYdyt0Sfxi&#10;SQ3MBdKV7e6s800cVHyvlL4ppIR9lkh1tAGKzY7A4QJr7O3WCfOYpzVZy615YECnKJyHMHBp4eNN&#10;oKUowOSN49B/lDC5gSvDSUqMdt8LlyOWnhvepU/0ShqyYzC5a8n4U5OwrHLWbE7RzZA8aGMhuksG&#10;pYM8gQgdtn7l9us9Mn/StWet02foIKSDPIVrDRa5Nj8pqeGKgLn4sWVGUCI/KeDNYjSd+jsFhWkU&#10;j0EwhyfrwxOmOLhaUu4MVqL0h63TWYHw+3ya6DhQSNGGMv+dq7Njro47MICrV+retMx9hZKz2cxP&#10;np/a8WQBXUXO9LyMw2jaTWY3uv1cDpRrWSkL5UeJJa+wUipSA3/mEbj0albLIvVERcG/GKJnTPqE&#10;QwfBDrRa8p7wwLpnKbwLqR5EBoyAC2nUBDj2yTgXynV+UdubZZBBb9iQF5+vIZljw1bfmzbk/Bvj&#10;3gIja+V647JQumHWSfQBiqzRbynW1j1Qz4+Sl4ByuMJHB1ZHr9qhjFrDM776BQAA//8DAFBLAwQU&#10;AAYACAAAACEABpsBZOAAAAAKAQAADwAAAGRycy9kb3ducmV2LnhtbEyPQU/CQBCF7yb+h82YeINt&#10;qyjUbgkh6omQCCbE29Ad2obubtNd2vLvHU56ejOZlzffy5ajaURPna+dVRBPIxBkC6drWyr43n9M&#10;5iB8QKuxcZYUXMnDMr+/yzDVbrBf1O9CKTjE+hQVVCG0qZS+qMign7qWLN9OrjMYeO1KqTscONw0&#10;MomiF2mwtvyhwpbWFRXn3cUo+BxwWD3F7/3mfFpff/az7WETk1KPD+PqDUSgMfyZ4YbP6JAz09Fd&#10;rPaiUTB5nbGTNXnmTjdDlCx4OipYsMo8k/8r5L8AAAD//wMAUEsBAi0AFAAGAAgAAAAhALaDOJL+&#10;AAAA4QEAABMAAAAAAAAAAAAAAAAAAAAAAFtDb250ZW50X1R5cGVzXS54bWxQSwECLQAUAAYACAAA&#10;ACEAOP0h/9YAAACUAQAACwAAAAAAAAAAAAAAAAAvAQAAX3JlbHMvLnJlbHNQSwECLQAUAAYACAAA&#10;ACEAYwpIJzIDAAAOCAAADgAAAAAAAAAAAAAAAAAuAgAAZHJzL2Uyb0RvYy54bWxQSwECLQAUAAYA&#10;CAAAACEABpsBZOAAAAAKAQAADwAAAAAAAAAAAAAAAACMBQAAZHJzL2Rvd25yZXYueG1sUEsFBgAA&#10;AAAEAAQA8wAAAJkGAAAAAA==&#10;">
                <v:rect id="child 1" o:spid="_x0000_s1034" style="position:absolute;top:-95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88yxwAAANoAAAAPAAAAZHJzL2Rvd25yZXYueG1sRI9PawIx&#10;FMTvhX6H8Aq9iGbbWpXVKKVUKIgV/1y8PTevm8XNy7JJ19VPbwShx2FmfsNMZq0tRUO1LxwreOkl&#10;IIgzpwvOFey28+4IhA/IGkvHpOBMHmbTx4cJptqdeE3NJuQiQtinqMCEUKVS+syQRd9zFXH0fl1t&#10;MURZ51LXeIpwW8rXJBlIiwXHBYMVfRrKjps/q2D4s7i87ZvOans+9M3uMvpaZp2jUs9P7ccYRKA2&#10;/Ifv7W+t4B1uV+INkNMrAAAA//8DAFBLAQItABQABgAIAAAAIQDb4fbL7gAAAIUBAAATAAAAAAAA&#10;AAAAAAAAAAAAAABbQ29udGVudF9UeXBlc10ueG1sUEsBAi0AFAAGAAgAAAAhAFr0LFu/AAAAFQEA&#10;AAsAAAAAAAAAAAAAAAAAHwEAAF9yZWxzLy5yZWxzUEsBAi0AFAAGAAgAAAAhAK7HzzLHAAAA2gAA&#10;AA8AAAAAAAAAAAAAAAAABwIAAGRycy9kb3ducmV2LnhtbFBLBQYAAAAAAwADALcAAAD7AgAAAAA=&#10;" filled="f" stroked="f">
                  <v:shadow on="t" color="black" opacity="26214f" origin="-.5,-.5" offset=".74836mm,.74836mm"/>
                  <v:textbox>
                    <w:txbxContent>
                      <w:p w:rsidR="00906548" w:rsidRDefault="00EC0590">
                        <w:pPr>
                          <w:jc w:val="left"/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rect>
                <v:line id="child 2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5J3wgAAANoAAAAPAAAAZHJzL2Rvd25yZXYueG1sRI/NisJA&#10;EITvC77D0IK3taMHWaKjqCD+LHvYxAdoM20SzPSEzKjx7XcWFvZYVNVX1GLV20Y9uPO1Ew2TcQKK&#10;pXCmllLDOd+9f4DygcRQ44Q1vNjDajl4W1Bq3FO++ZGFUkWI+JQ0VCG0KaIvKrbkx65lid7VdZZC&#10;lF2JpqNnhNsGp0kyQ0u1xIWKWt5WXNyyu9Xwtb9g9qrNeoKNvZ8+Md+cjrnWo2G/noMK3If/8F/7&#10;YDTM4PdKvAG4/AEAAP//AwBQSwECLQAUAAYACAAAACEA2+H2y+4AAACFAQAAEwAAAAAAAAAAAAAA&#10;AAAAAAAAW0NvbnRlbnRfVHlwZXNdLnhtbFBLAQItABQABgAIAAAAIQBa9CxbvwAAABUBAAALAAAA&#10;AAAAAAAAAAAAAB8BAABfcmVscy8ucmVsc1BLAQItABQABgAIAAAAIQBdX5J3wgAAANoAAAAPAAAA&#10;AAAAAAAAAAAAAAcCAABkcnMvZG93bnJldi54bWxQSwUGAAAAAAMAAwC3AAAA9gIAAAAA&#10;" strokecolor="black [3200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:rsidR="00906548" w:rsidRDefault="00EC0590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Q</w:t>
      </w:r>
      <w:r>
        <w:rPr>
          <w:b/>
          <w:sz w:val="22"/>
        </w:rPr>
        <w:t xml:space="preserve">. </w:t>
      </w:r>
      <w:r>
        <w:rPr>
          <w:rFonts w:hint="eastAsia"/>
          <w:b/>
          <w:sz w:val="22"/>
        </w:rPr>
        <w:t xml:space="preserve">대한 하트만덱스 주사액 </w:t>
      </w:r>
      <w:r>
        <w:rPr>
          <w:b/>
          <w:sz w:val="22"/>
        </w:rPr>
        <w:t>1000ml (</w:t>
      </w:r>
      <w:r>
        <w:rPr>
          <w:rFonts w:hint="eastAsia"/>
          <w:b/>
          <w:sz w:val="22"/>
        </w:rPr>
        <w:t xml:space="preserve">백)에 아모부로펜 주 </w:t>
      </w:r>
      <w:r>
        <w:rPr>
          <w:b/>
          <w:sz w:val="22"/>
        </w:rPr>
        <w:t>8ml</w:t>
      </w:r>
      <w:r>
        <w:rPr>
          <w:rFonts w:hint="eastAsia"/>
          <w:b/>
          <w:sz w:val="22"/>
        </w:rPr>
        <w:t>를 희석하였더니 하얀색 침전이 생겼습니다.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두 제품을 희석하면 안되는 걸까요?</w:t>
      </w:r>
    </w:p>
    <w:p w:rsidR="00906548" w:rsidRDefault="00EC0590">
      <w:pPr>
        <w:wordWrap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A. 아모부로펜 주 8ml의 허가사항은 다음과 같습니다.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&lt;정맥주입용액 조제&gt;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정맥 주입 전에 최종 농도가 4mg/mL 이하가 되도록 정주용 수액으로 희석한다.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사용 가능한 정주용 수액은 다음과 같다 ; 0.9% 생리식염주사액, 5% 포도당주사액 또는 유당첨가링겔액.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ㆍ400mg 용액 : 이 약 4mL를 정주용 수액 100mL 이상으로 희석한다.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ㆍ800mg 용액 : 이 약 8mL를 정주용 수액 200mL 이상으로 희석한다.</w:t>
      </w:r>
    </w:p>
    <w:p w:rsidR="00906548" w:rsidRDefault="00906548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 xml:space="preserve"> 허가사항에 명시된 사용 가능한 정주용 수액에는 하트만덱스 주사액이 없으며, 유당첨가링겔액은 하트만 주사액과 다른 약품입니다.</w:t>
      </w:r>
    </w:p>
    <w:p w:rsidR="00906548" w:rsidRDefault="00EC0590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 xml:space="preserve"> 제약사에 문의한 결과, 아모부로펜 주 8ml는 하트만 주사액에 희석시 침전이 생길 수 있다는 답변을 받았습니다. 허가사항에 맞게 의약품을 사용해주시기 바랍니다.</w:t>
      </w:r>
    </w:p>
    <w:p w:rsidR="00906548" w:rsidRDefault="00906548">
      <w:pPr>
        <w:wordWrap/>
        <w:spacing w:after="0"/>
        <w:jc w:val="left"/>
        <w:rPr>
          <w:rFonts w:eastAsiaTheme="minorHAnsi" w:cs="MalgunGothicBold"/>
          <w:bCs/>
          <w:kern w:val="0"/>
          <w:sz w:val="22"/>
        </w:rPr>
      </w:pPr>
    </w:p>
    <w:p w:rsidR="00906548" w:rsidRDefault="00EC0590">
      <w:pPr>
        <w:wordWrap/>
        <w:spacing w:after="0"/>
        <w:jc w:val="left"/>
        <w:rPr>
          <w:rFonts w:eastAsiaTheme="minorHAnsi" w:cs="MalgunGothicBold"/>
          <w:b/>
          <w:bCs/>
          <w:kern w:val="0"/>
          <w:sz w:val="22"/>
        </w:rPr>
      </w:pPr>
      <w:r>
        <w:rPr>
          <w:rFonts w:eastAsiaTheme="minorHAnsi" w:cs="MalgunGothicBold"/>
          <w:b/>
          <w:bCs/>
          <w:kern w:val="0"/>
          <w:sz w:val="22"/>
        </w:rPr>
        <w:t xml:space="preserve">Q. 일주일 전 트리악손 주사 2g의 AST를 실시하였고, 음성이었습니다. 지금 다시 트리악손 주사 2g을 투여하려는데, AST를 재실시해야 할까요?  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 xml:space="preserve">A. 아직까지 AST 결과를 얼마나 오래 신뢰할 수 있는지에 대한 연구가 많지 않아, 이에 대한 지침이 없습니다. </w:t>
      </w:r>
    </w:p>
    <w:p w:rsidR="00906548" w:rsidRDefault="00EC0590">
      <w:pPr>
        <w:wordWrap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>다만 2012년 대한천식알레르기학회에서 발표한 ‘항생제 피부반응시험 지침’에 따르면, Penicillin 피부반응시험을 시행한 환자에서 약물 투여 없이 1개월 후 피부반응시험을 시행한 결과 양성반응을 보였다는 보고가 있습니다. 이는 체내에 투여된 약물이 길게는 1개월까지도 AST 결과에 영향을 줄 수 있다는 의미이기도 합니다.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/>
          <w:bCs/>
          <w:kern w:val="0"/>
          <w:sz w:val="22"/>
        </w:rPr>
        <w:t xml:space="preserve"> 따라서 1주일 이후 AST를 재실시하였을 때 위양성 또는 위음성이 나타날 가능성이 일반적인 경우보다 더 높아집니다. AST 결과를 신뢰하기 보다는, 쇽 발생에 대비하여 구급처치 준비를 해두고 투여 후에도 환자를 안정한 상태에서 충분히 관찰하는 것이 바람직합니다.</w:t>
      </w:r>
    </w:p>
    <w:p w:rsidR="00906548" w:rsidRDefault="00906548">
      <w:pPr>
        <w:wordWrap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</w:p>
    <w:p w:rsidR="00906548" w:rsidRDefault="00EC0590">
      <w:pPr>
        <w:wordWrap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:rsidR="00906548" w:rsidRDefault="00906548">
      <w:pPr>
        <w:wordWrap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:rsidR="00906548" w:rsidRDefault="00EC0590">
      <w:pPr>
        <w:wordWrap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제품별 국내 허가사항,</w:t>
      </w: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 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>제약회사 학술팀 권고사항</w:t>
      </w:r>
    </w:p>
    <w:p w:rsidR="00906548" w:rsidRDefault="00EC0590">
      <w:pPr>
        <w:wordWrap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:rsidR="00906548" w:rsidRDefault="00EC0590">
      <w:pPr>
        <w:wordWrap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2</w:t>
      </w:r>
      <w:r>
        <w:rPr>
          <w:rFonts w:ascii="MalgunGothicBold" w:eastAsia="MalgunGothicBold" w:cs="MalgunGothicBold"/>
          <w:b/>
          <w:bCs/>
          <w:kern w:val="0"/>
          <w:szCs w:val="20"/>
        </w:rPr>
        <w:t xml:space="preserve">012 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 xml:space="preserve">대한천식알레르기학회 </w:t>
      </w:r>
      <w:r>
        <w:rPr>
          <w:rFonts w:ascii="MalgunGothicBold" w:eastAsia="MalgunGothicBold" w:cs="MalgunGothicBold"/>
          <w:b/>
          <w:bCs/>
          <w:kern w:val="0"/>
          <w:szCs w:val="20"/>
        </w:rPr>
        <w:t>‘</w:t>
      </w:r>
      <w:r>
        <w:rPr>
          <w:rFonts w:ascii="MalgunGothicBold" w:eastAsia="MalgunGothicBold" w:cs="MalgunGothicBold" w:hint="eastAsia"/>
          <w:b/>
          <w:bCs/>
          <w:kern w:val="0"/>
          <w:szCs w:val="20"/>
        </w:rPr>
        <w:t>항생제 피부반응시험 지침</w:t>
      </w:r>
      <w:r>
        <w:rPr>
          <w:rFonts w:ascii="MalgunGothicBold" w:eastAsia="MalgunGothicBold" w:cs="MalgunGothicBold"/>
          <w:b/>
          <w:bCs/>
          <w:kern w:val="0"/>
          <w:szCs w:val="20"/>
        </w:rPr>
        <w:t>’</w:t>
      </w:r>
    </w:p>
    <w:p w:rsidR="00906548" w:rsidRDefault="00EC05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kern w:val="0"/>
          <w:szCs w:val="20"/>
        </w:rPr>
        <w:br w:type="page"/>
      </w:r>
    </w:p>
    <w:p w:rsidR="00906548" w:rsidRDefault="00EC05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noProof/>
          <w:kern w:val="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hidden="0" allowOverlap="1">
                <wp:simplePos x="0" y="0"/>
                <wp:positionH relativeFrom="margin">
                  <wp:posOffset>3976</wp:posOffset>
                </wp:positionH>
                <wp:positionV relativeFrom="paragraph">
                  <wp:posOffset>83489</wp:posOffset>
                </wp:positionV>
                <wp:extent cx="6524625" cy="628650"/>
                <wp:effectExtent l="23859" t="23859" r="77740" b="77740"/>
                <wp:wrapNone/>
                <wp:docPr id="1040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628650"/>
                          <a:chOff x="0" y="138399"/>
                          <a:chExt cx="5972175" cy="781050"/>
                        </a:xfrm>
                      </wpg:grpSpPr>
                      <wps:wsp>
                        <wps:cNvPr id="7" name="child 1"/>
                        <wps:cNvSpPr>
                          <a:spLocks/>
                        </wps:cNvSpPr>
                        <wps:spPr>
                          <a:xfrm>
                            <a:off x="0" y="138399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906548" w:rsidRDefault="00EC0590">
                              <w:pPr>
                                <w:jc w:val="left"/>
                                <w:rPr>
                                  <w:color w:val="203965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203965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Issue : </w:t>
                              </w:r>
                              <w:r>
                                <w:rPr>
                                  <w:rFonts w:hint="eastAsia"/>
                                  <w:color w:val="203965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소아투여주의 의약품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40" o:spid="_x0000_s1036" style="position:absolute;left:0;text-align:left;margin-left:.3pt;margin-top:6.55pt;width:513.75pt;height:49.5pt;z-index:251723776;mso-position-horizontal-relative:margin" coordorigin=",1383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8MVPAMAABAIAAAOAAAAZHJzL2Uyb0RvYy54bWy0VVtv0zAUfkfiP1h5Z0nTppdo7YQ2NiFN&#10;MG0gnl3HaaI5drDdpuXXc3ycS1uYEEPkIfKxz/U737Evr/aVIDuuTankMhhdRAHhkqmslJtl8PXL&#10;7bt5QIylMqNCSb4MDtwEV6u3by6bOuWxKpTIuCbgRJq0qZdBYW2dhqFhBa+ouVA1l3CYK11RC6Le&#10;hJmmDXivRBhH0TRslM5qrRg3BnZv/GGwQv95zpn9nOeGWyKWAeRm8a/xv3b/cHVJ042mdVGyNg36&#10;iiwqWkoI2ru6oZaSrS5/cVWVTCujcnvBVBWqPC8ZxxqgmlF0Vs2dVtsaa9mkzabuYQJoz3B6tVv2&#10;afegSZlB76IJACRpBV0yBa05bgA+Tb1JQe1O10/1g/ZFwvJesWcDx+H5uZM3g/I+15UzglrJHoE/&#10;9MDzvSUMNqdJPJnGSUAYnE3j+TRpO8MKaN9gNhrPx4uFbxorPrTWyWIWj2at9Ww+irx1SFMfGzPs&#10;M2pqYJoZwDT/BuaTgwp7ZBxKLZizDklWlCIjI5eyCwwaHYjmGMGjE6dmWqB/i90xCB2Af4KAprU2&#10;9o6rirjFMtAwGUhYurs31rVxUHHdkuq2FAL2aSrkyQYo+h2O4wXW2N2t5fqpyBqyFlv9SIFQSTSP&#10;gFFZ6eKNoS0owOzFs8h9AaFiA5eGFQHRyn4rbYFgOnY4ly7Ra6HJjsLsrgVlzz5hURfUb07QzZA8&#10;aGMhqksGpaM8gQkduG5l9+s9cn/S9WetsgO0ENJBpsLFBotC6R8BaeCSgMn4vqWaB0R8lECcxWji&#10;hsaiMElmMQj6+GR9fEIlA1fLgFmNlUj1fmtVXiL8Lh8fHUcKOeo589/JCle0H3tP1rgDA8h6LR90&#10;S90XODmdTt3owdzO4vECuoqc6Xk5i5JJN5qLBEbcd6sj9hkrRSndLNH0BVYKSRrgzzwBl07NKFFm&#10;jqgouDeD94zJnnHqgK5HWi15z3hg7EFw50LIR54DI+BKGvkApz4pY1zazi9qO7McMugNPXnxARuS&#10;OTVs9Z2pJ+ffGPcWGFlJ2xtXpVSeWWfRByhyr99SrK17oJ5rjpOAcrjCZwdWJ+/asYxaw0O++gkA&#10;AP//AwBQSwMEFAAGAAgAAAAhAD8EPS/dAAAACAEAAA8AAABkcnMvZG93bnJldi54bWxMj0FrwzAM&#10;he+D/gejwm6r45SVksUppWw7lcHawdhNjdUkNLZD7Cbpv5962m5Peo+nT/lmsq0YqA+NdxrUIgFB&#10;rvSmcZWGr+Pb0xpEiOgMtt6RhhsF2BSzhxwz40f3ScMhVoJLXMhQQx1jl0kZyposhoXvyLF39r3F&#10;yGNfSdPjyOW2lWmSrKTFxvGFGjva1VReDler4X3EcbtUr8P+ct7dfo7PH997RVo/zqftC4hIU/wL&#10;wx2f0aFgppO/OhNEq2HFOd4uFYi7m6RrVidWKlUgi1z+f6D4BQAA//8DAFBLAQItABQABgAIAAAA&#10;IQC2gziS/gAAAOEBAAATAAAAAAAAAAAAAAAAAAAAAABbQ29udGVudF9UeXBlc10ueG1sUEsBAi0A&#10;FAAGAAgAAAAhADj9If/WAAAAlAEAAAsAAAAAAAAAAAAAAAAALwEAAF9yZWxzLy5yZWxzUEsBAi0A&#10;FAAGAAgAAAAhAO8HwxU8AwAAEAgAAA4AAAAAAAAAAAAAAAAALgIAAGRycy9lMm9Eb2MueG1sUEsB&#10;Ai0AFAAGAAgAAAAhAD8EPS/dAAAACAEAAA8AAAAAAAAAAAAAAAAAlgUAAGRycy9kb3ducmV2Lnht&#10;bFBLBQYAAAAABAAEAPMAAACgBgAAAAA=&#10;">
                <v:rect id="child 1" o:spid="_x0000_s1037" style="position:absolute;top:1383;width:59721;height:7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exQAAANoAAAAPAAAAZHJzL2Rvd25yZXYueG1sRI9Ba8JA&#10;FITvQv/D8gpeRDe1pUrqKkUsFKRKoxdvz+xrNph9G7LbGP31bqHgcZj5ZpjZorOVaKnxpWMFT6ME&#10;BHHudMmFgv3uYzgF4QOyxsoxKbiQh8X8oTfDVLszf1ObhULEEvYpKjAh1KmUPjdk0Y9cTRy9H9dY&#10;DFE2hdQNnmO5reQ4SV6lxZLjgsGalobyU/ZrFUw26+vzoR1sd5fji9lfp6uvfHBSqv/Yvb+BCNSF&#10;e/if/tSRg78r8QbI+Q0AAP//AwBQSwECLQAUAAYACAAAACEA2+H2y+4AAACFAQAAEwAAAAAAAAAA&#10;AAAAAAAAAAAAW0NvbnRlbnRfVHlwZXNdLnhtbFBLAQItABQABgAIAAAAIQBa9CxbvwAAABUBAAAL&#10;AAAAAAAAAAAAAAAAAB8BAABfcmVscy8ucmVsc1BLAQItABQABgAIAAAAIQAxWfTexQAAANoAAAAP&#10;AAAAAAAAAAAAAAAAAAcCAABkcnMvZG93bnJldi54bWxQSwUGAAAAAAMAAwC3AAAA+QIAAAAA&#10;" filled="f" stroked="f">
                  <v:shadow on="t" color="black" opacity="26214f" origin="-.5,-.5" offset=".74836mm,.74836mm"/>
                  <v:textbox>
                    <w:txbxContent>
                      <w:p w:rsidR="00906548" w:rsidRDefault="00EC0590">
                        <w:pPr>
                          <w:jc w:val="left"/>
                          <w:rPr>
                            <w:color w:val="203965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203965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Issue : </w:t>
                        </w:r>
                        <w:r>
                          <w:rPr>
                            <w:rFonts w:hint="eastAsia"/>
                            <w:color w:val="203965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소아투여주의 의약품</w:t>
                        </w:r>
                      </w:p>
                    </w:txbxContent>
                  </v:textbox>
                </v:rect>
                <v:line id="child 2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KOevgAAANoAAAAPAAAAZHJzL2Rvd25yZXYueG1sRE/NisIw&#10;EL4v+A5hhL2tU/cgSzWKCuLq4sHWBxibsS02k9JErW+/OQgeP77/2aK3jbpz52snGsajBBRL4Uwt&#10;pYZTvvn6AeUDiaHGCWt4sofFfPAxo9S4hxz5noVSxRDxKWmoQmhTRF9UbMmPXMsSuYvrLIUIuxJN&#10;R48Ybhv8TpIJWqolNlTU8rri4prdrIbD9ozZszbLMTb2tv/DfLXf5Vp/DvvlFFTgPrzFL/ev0RC3&#10;xivxBuD8HwAA//8DAFBLAQItABQABgAIAAAAIQDb4fbL7gAAAIUBAAATAAAAAAAAAAAAAAAAAAAA&#10;AABbQ29udGVudF9UeXBlc10ueG1sUEsBAi0AFAAGAAgAAAAhAFr0LFu/AAAAFQEAAAsAAAAAAAAA&#10;AAAAAAAAHwEAAF9yZWxzLy5yZWxzUEsBAi0AFAAGAAgAAAAhAEOMo56+AAAA2gAAAA8AAAAAAAAA&#10;AAAAAAAABwIAAGRycy9kb3ducmV2LnhtbFBLBQYAAAAAAwADALcAAADyAgAAAAA=&#10;" strokecolor="black [3200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:rsidR="00906548" w:rsidRDefault="00906548">
      <w:pPr>
        <w:wordWrap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:rsidR="00906548" w:rsidRDefault="00906548">
      <w:pPr>
        <w:widowControl/>
        <w:wordWrap/>
        <w:autoSpaceDE/>
        <w:autoSpaceDN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:rsidR="00906548" w:rsidRPr="001E11EF" w:rsidRDefault="00EC0590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 w:themeColor="text1"/>
          <w:kern w:val="0"/>
          <w:sz w:val="24"/>
          <w:szCs w:val="24"/>
        </w:rPr>
      </w:pPr>
      <w:r>
        <w:rPr>
          <w:rFonts w:eastAsiaTheme="minorHAnsi" w:cs="굴림"/>
          <w:color w:val="FF0000"/>
          <w:kern w:val="0"/>
          <w:sz w:val="24"/>
          <w:szCs w:val="24"/>
        </w:rPr>
        <w:t xml:space="preserve"> </w:t>
      </w:r>
      <w:r w:rsidRPr="001E11EF">
        <w:rPr>
          <w:rFonts w:eastAsiaTheme="minorHAnsi" w:cs="굴림"/>
          <w:color w:val="000000" w:themeColor="text1"/>
          <w:kern w:val="0"/>
          <w:sz w:val="24"/>
          <w:szCs w:val="24"/>
        </w:rPr>
        <w:t>원내 의약품 중 소아 투여 시 주의가 필요한 의약품(말초신경계용약, 중추신경계용약, 마약 등)목록입니다. 소아에 대한 안전성이 시험된 바 없는 경우, 별도의 용법/용량이 없습니다.</w:t>
      </w:r>
    </w:p>
    <w:p w:rsidR="00906548" w:rsidRDefault="00EC0590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/>
          <w:kern w:val="0"/>
          <w:sz w:val="24"/>
          <w:szCs w:val="24"/>
        </w:rPr>
      </w:pPr>
      <w:r>
        <w:rPr>
          <w:rFonts w:eastAsiaTheme="minorHAnsi" w:cs="굴림"/>
          <w:color w:val="FF0000"/>
          <w:kern w:val="0"/>
          <w:sz w:val="24"/>
          <w:szCs w:val="24"/>
        </w:rPr>
        <w:t xml:space="preserve"> </w:t>
      </w:r>
      <w:r>
        <w:rPr>
          <w:rFonts w:eastAsiaTheme="minorHAnsi" w:cs="굴림"/>
          <w:color w:val="000000"/>
          <w:kern w:val="0"/>
          <w:sz w:val="24"/>
          <w:szCs w:val="24"/>
        </w:rPr>
        <w:t>이 경우 성인의 용법/용량을 기반으로 개인의 체중/연령/증상을 감안하여 투여해야 하며, 환자의 반응을 관찰하면서 적절히 투여용량을 증감해야 합니다.</w:t>
      </w:r>
    </w:p>
    <w:p w:rsidR="00906548" w:rsidRDefault="00906548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/>
          <w:kern w:val="0"/>
          <w:sz w:val="24"/>
          <w:szCs w:val="24"/>
        </w:rPr>
      </w:pPr>
    </w:p>
    <w:tbl>
      <w:tblPr>
        <w:tblW w:w="10490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38"/>
        <w:gridCol w:w="1360"/>
        <w:gridCol w:w="2178"/>
        <w:gridCol w:w="5214"/>
      </w:tblGrid>
      <w:tr w:rsidR="00906548">
        <w:trPr>
          <w:trHeight w:val="990"/>
          <w:tblHeader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복지부분류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약품코드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제품명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소아 용법/용량</w:t>
            </w:r>
          </w:p>
        </w:tc>
      </w:tr>
      <w:tr w:rsidR="00906548">
        <w:trPr>
          <w:trHeight w:val="356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(항)호르몬제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MNOR20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노르핀 주 20ml</w:t>
            </w:r>
          </w:p>
        </w:tc>
        <w:tc>
          <w:tcPr>
            <w:tcW w:w="52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5D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W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 희석하여 점적정맥주사.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.05~2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cg/kg/min</w:t>
            </w:r>
          </w:p>
        </w:tc>
      </w:tr>
      <w:tr w:rsidR="00906548">
        <w:trPr>
          <w:trHeight w:val="405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MNOR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노르핀 주 4ml</w:t>
            </w:r>
          </w:p>
        </w:tc>
        <w:tc>
          <w:tcPr>
            <w:tcW w:w="52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06548">
        <w:trPr>
          <w:trHeight w:val="33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MEPI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대한 에피네프린 주사액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 등은 전신의 이상반응이 나타나기 쉬우므로 개시용량은 소량으로 하고 증상을 관찰하면서 신중히 투여한다.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.1~1 mcg/kg/min</w:t>
            </w:r>
          </w:p>
        </w:tc>
      </w:tr>
      <w:tr w:rsidR="00906548">
        <w:trPr>
          <w:trHeight w:val="1320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기타의 대사성 의약품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MSB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휴온스 탄산수소나트륨 주사액 (8.4%)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신생아는 고농도액 투여에 의한 두개내 출혈을 일으킬 수 있으므로, 필요 최소량을 주사용수에 2%이하의 농도로 희석하여, 가능하면 서서히 (1mEq/분 이하) 투여하는 것이 바람직하다.</w:t>
            </w:r>
          </w:p>
        </w:tc>
      </w:tr>
      <w:tr w:rsidR="00906548">
        <w:trPr>
          <w:trHeight w:val="990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MFTN2V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비씨펜타닐주사 100㎍/2ml(비씨)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2∼12세의 유소아 :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마취유도 및 유지시 체중 kg당 2∼3 ㎍정도의 저용량을 사용한다.</w:t>
            </w:r>
          </w:p>
        </w:tc>
      </w:tr>
      <w:tr w:rsidR="00906548">
        <w:trPr>
          <w:trHeight w:val="1023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MFTN20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한림 펜타닐 주사 1000mcg/20ml (Vial)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2~12세의 유소아 : 마취유도 및 유지시 체중 kg당 2∼3 ㎍정도의 저용량을 사용한다.</w:t>
            </w:r>
          </w:p>
        </w:tc>
      </w:tr>
      <w:tr w:rsidR="00906548">
        <w:trPr>
          <w:trHeight w:val="660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말초신경계용약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MAT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대한 아트로핀황산염 주사액 1ml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소아에 대한 안전성이 확립되어 있지 않다(사용경험이 없다.).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MMAG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마구내신 주사액 10%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 : 이 약의 안전성은 시험된 바 없다.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MMAG50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마구내신 주사액 50%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 : 이 약의 안전성은 시험된 바 없다.</w:t>
            </w:r>
          </w:p>
        </w:tc>
      </w:tr>
      <w:tr w:rsidR="00906548">
        <w:trPr>
          <w:trHeight w:val="330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MVECA1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베카론 주 10mg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신생아 및 1세 까지의 유아 :  특히 신생아 및 영아(출생후 4개월까지) 의 경우 신경근접합부의 민감도가 변화할 가능성이 있으므로 0.01-0.02mg/kg의 초회량을 투여한 후 90-95%로 연축반응이 억제될 때까지 증량하는 것이 권고된다. 5개월-1세 영아의 용량은 성인과 같으나 이 약의 작용개시 시간이 성인 및 소아보다 상당히 빠르므로 양호한 삽관상태를 신속하게 얻기 위한 고용량 투여는 필요하지 않다. 신생아 및 영아에서 이 약의 작용지속시간 및 회복시간이 소아 및 성인보다 길므로 유지투여량의 투여빈도가 더 작다.</w:t>
            </w:r>
          </w:p>
        </w:tc>
      </w:tr>
      <w:tr w:rsidR="00906548">
        <w:trPr>
          <w:trHeight w:val="660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생물학적제제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MIVG20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아이비글로불린 에스엔 주 10% 200mL</w:t>
            </w:r>
          </w:p>
        </w:tc>
        <w:tc>
          <w:tcPr>
            <w:tcW w:w="5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1. 저 및 무감마글로불린혈증 : 1회 사람면역글로불린-지로서 체중 kg당 200~600mg을 3~4주 간격으로 점적 정맥주사 또는 직접 정맥주사한다.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2. 중증감염증에 항생물질 병용 시 : 1회 사람면역글로불린-지로서 성인 2,500∼5,000mg, 소아 50∼150mg/kg을 점적 정맥주사 또는 직접 정맥주사한다.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3. 특발혈소판감소자색반병 : 이 약으로서 1일 1000mg/kg, 2일간 사용하여도 증상의 개선이 보이지 않으면 중지한다.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4. 길랑바레 증후군 : 400mg/kg 1일 1회 5일간 투여한다.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5. 가와사키병 : 1일 400mg/kg, 5일간(증감), 혹은 2,000mg/kg을 1회 점적 정맥주사한다(적의감량). 가와사키병에 사용하는 경우에는 발병 후 7일 이내에 투여를 개시하는 것이 바람직하다. 2,000mg/kg를 1회 투여할 경우 기본적으로 아래 투여속도를 준수하는 것으로 하지만 기준으로서는 12시간 이상에 걸쳐 점적 정맥주사한다.</w:t>
            </w:r>
          </w:p>
        </w:tc>
      </w:tr>
      <w:tr w:rsidR="00906548">
        <w:trPr>
          <w:trHeight w:val="99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MIVG2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아이비글로불린 에스엔 주 10% 25mL</w:t>
            </w:r>
          </w:p>
        </w:tc>
        <w:tc>
          <w:tcPr>
            <w:tcW w:w="5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MIVGS1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아이비글로불린 에스엔 주 5% 20mL</w:t>
            </w:r>
          </w:p>
        </w:tc>
        <w:tc>
          <w:tcPr>
            <w:tcW w:w="5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06548">
        <w:trPr>
          <w:trHeight w:val="99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MIVGS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아이비글로불린 에스엔 주 5% 50mL</w:t>
            </w:r>
          </w:p>
        </w:tc>
        <w:tc>
          <w:tcPr>
            <w:tcW w:w="5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06548">
        <w:trPr>
          <w:trHeight w:val="3300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순환계용약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MDGX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아주 디곡신 주사액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1) 급속 포화요법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① 신생아, 미숙아 : 1일 체중 ㎏당 0.03-0.05㎎을 3-4회 분할 정맥 또는 근육주사한다.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② 2세 미만 : 1일 체중 ㎏당 0.04-0.06㎎을 3-4회 분할 정맥 또는 근육주사한다.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③ 2세 이상 : 1일 체중 ㎏당 0.02-0.04㎎을 3-4회 분할 정맥 또는 근육주사한다.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2) 유지요법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포화량의 1/15-1/10을 정맥 또는 근육주사한다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연령, 증상에 따라 적절히 증감한다.</w:t>
            </w:r>
          </w:p>
        </w:tc>
      </w:tr>
      <w:tr w:rsidR="00906548">
        <w:trPr>
          <w:trHeight w:val="99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MCDR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코다론 주사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신생아, 영아 및 소아 환자들에 대한 안전성 및 유효성이 확립되어있지 않으므로, 이 약은 소아에 대한 사용이 권장되지 않는다,</w:t>
            </w:r>
          </w:p>
        </w:tc>
      </w:tr>
      <w:tr w:rsidR="00906548">
        <w:trPr>
          <w:trHeight w:val="660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자양강장변질제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MCAC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염카루 주 3% 20mL (P)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소아투여시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정기적으로 혈중 및 요중 칼슘치를 검사하며 고칼슘혈증이 나타난 경우에는 투여를 중지한다.</w:t>
            </w:r>
          </w:p>
        </w:tc>
      </w:tr>
      <w:tr w:rsidR="00906548">
        <w:trPr>
          <w:trHeight w:val="99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MCAG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제이더블유중외제약 글루콘산칼슘 주사액 20ml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소아투여시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정기적으로 혈중 및 요중 칼슘치를 검사하며 고칼슘혈증이 나타난 경우에는 투여를 중지한다.</w:t>
            </w:r>
          </w:p>
        </w:tc>
      </w:tr>
      <w:tr w:rsidR="00906548">
        <w:trPr>
          <w:trHeight w:val="2766"/>
        </w:trPr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중추신경계용약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MMIDA15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부광 미다졸람 주사 15mg/3ml</w:t>
            </w:r>
          </w:p>
        </w:tc>
        <w:tc>
          <w:tcPr>
            <w:tcW w:w="52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신생아, 미숙아, 유ㆍ소아에 대한 안전성이 확립되어 있지 않다.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정맥주사 또는 5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DW, NS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 희석하여 점적정맥주사.</w:t>
            </w:r>
          </w:p>
          <w:p w:rsidR="00906548" w:rsidRDefault="00906548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정맥주사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6개월~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세: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0.05~0.1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g/kg, Total 0.6mg/kg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최대량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6mg)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6세~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세: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0.025~0.05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g/kg, Total 0.4mg/kg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   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최대량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10mg)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oading dose: 0.05~0.2mg/kg</w:t>
            </w:r>
          </w:p>
          <w:p w:rsidR="00906548" w:rsidRDefault="00906548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점적정맥주사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Initial: 0.06~0.12 mg/kg/h</w:t>
            </w:r>
          </w:p>
          <w:p w:rsidR="00906548" w:rsidRDefault="00EC0590">
            <w:pPr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R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ange: 0.024~0.36mg/kg/h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MMIDA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부광 미다졸람 주사 5mg/5ml</w:t>
            </w:r>
          </w:p>
        </w:tc>
        <w:tc>
          <w:tcPr>
            <w:tcW w:w="52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06548">
        <w:trPr>
          <w:trHeight w:val="4519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MDZ10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삼진 디아제팜 주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정주, 불가능 시 근주.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불안/긴장 : 0.04-0.2mg/kg 정주, 필요시 2-4시간 마다 반복, 8시간 이내 최대 0.6mg/kg.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경련발작 또는 간질중첩상태의 치료보조: 1개월 이상-5세미만 : 0.2-0.5mg 2-5분 간격, 총투여 최대 5mg. 5세 이상 : 1mg 2-5분 간격, 총투여 최대 10mg. 필요 시 2-4시간마다 반복.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파상풍 경련 완화 : 1개월 이상-5세 미만: 1-2mg을 천천히 정주, 필요시 3-4시간마다 반복. 5세 이상 : 5-10mg을 천천히 정주, 필요시 3-4시간마다 반복.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MATV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아티반 주사 4mg/mL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18세 이하의 소아에 대한 안전성 및 유효성이 확립되어 있지 않다.</w:t>
            </w:r>
          </w:p>
        </w:tc>
      </w:tr>
      <w:tr w:rsidR="00906548">
        <w:trPr>
          <w:trHeight w:val="198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MVPR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오르필 주사액 300mg/3ml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1일 용량은 보통 체중 ㎏당 20-30㎎이며, 용법은 성인의 경우와 동일하다. 충분한 효과가 나타나지 않을 경우 체중 ㎏당 40㎎까지 증량 투여할 수 있으나, 혈중 발프로산 농도의 측정이 가능한 경우에 한한다. 1일 용량으로 체중 ㎏당 40㎎을 초과 할 경우에는 혈액검사 등의 임상검사를 실시한다.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MPB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제일 페노바르비탈 주사액 100mg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신생아,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미숙아에는 투여 금기</w:t>
            </w:r>
          </w:p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(벤질알코올 함유제제)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MKEP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케프라 주사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주사제는 16세 미만의 소아에 대해 안전성·유효성이 확립되지 않았으므로 투여가 권장되지 않는다.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DPCR5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포크랄 시럽 5mL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불면증 : 취침 15-30분 전 50mg/kg. 수술 전 진정: 수술 30분 전 25-50mg/kg.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1회 또는 1일 최대 1g.</w:t>
            </w:r>
          </w:p>
        </w:tc>
      </w:tr>
      <w:tr w:rsidR="00906548">
        <w:trPr>
          <w:trHeight w:val="660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DPB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하나 페노바르비탈 정 30mg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뇌전증 : 이 약으로서 체중 ㎏당 3-6㎎을 투여한다.</w:t>
            </w:r>
          </w:p>
        </w:tc>
      </w:tr>
      <w:tr w:rsidR="00906548">
        <w:trPr>
          <w:trHeight w:val="765"/>
        </w:trPr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548" w:rsidRDefault="0090654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MKETA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휴온스 케타민염산염 주사 10mL (바이알)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초기 유도 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근육주사 : 3-7 mg/kg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정맥주사 : 0.5-2 mg/kg. 소수술시 진정 목적으로 사용할 경우 저용량 (0.5-1mg/kg) 투여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상용량 : 1-2 mg/kg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정맥 점적주입 : 진정 목적 : 5-20 μg/kg/min</w:t>
            </w:r>
          </w:p>
        </w:tc>
      </w:tr>
      <w:tr w:rsidR="00906548">
        <w:trPr>
          <w:trHeight w:val="6600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호흡기관용약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MNX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삼진 날록손염산염 주사 2mg/2mL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548" w:rsidRDefault="00EC059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1) 마약의 과량투여 또는 과량투여가 예상될 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(1) 정맥주사시 보통 초회량은 체중 kg당 0.01 mg이다. 이 용량으로 만족할 정도의 임상적 개선이 나타나지 않으면 체중 kg당 0.1 mg을 다시 정맥주사할 수 있다.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(2) 정맥주사가 곤란할 경우 분할하여 근육 또는 피하주사할 수 있다. 필요시 주사용증류수에 희석하여 사용할 수 있다.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2) 수술후 마약성 억제시 : 성인 용법에 따르며, 호흡억제의 최초 역전시에는 바람직한 역전의 정도가 나타날 때까지 2 ～ 3분 간격으로 0.005 ～ 0.01 mg 증량하여 정맥주사 해야 한다.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○ 신생아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마약유도 억제시 : 보통 초회량 체중 kg당 0.01 mg을 정맥, 근육 또는 피하주사한다. 이 용량을 수술후 마약성 억제에 대한 성인의 용법에 따라 반복 투여할 수 있다.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2. 뇌졸증, 뇌출혈로 인한 허혈성 뇌신경장애 : 초회량 0.4 ～ 4 mg을 정맥주사후 1일 4 ～ 8 mg을 5 %포도당 주사액 또는 생리식염 주사액 1,000 mL에 혼합하여 천천히 점적 정맥주사한다.</w:t>
            </w:r>
          </w:p>
        </w:tc>
      </w:tr>
    </w:tbl>
    <w:p w:rsidR="00906548" w:rsidRDefault="00906548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/>
          <w:kern w:val="0"/>
          <w:sz w:val="24"/>
          <w:szCs w:val="24"/>
        </w:rPr>
      </w:pPr>
    </w:p>
    <w:p w:rsidR="00906548" w:rsidRDefault="00906548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vanish/>
          <w:color w:val="000000"/>
          <w:kern w:val="0"/>
          <w:sz w:val="24"/>
          <w:szCs w:val="24"/>
        </w:rPr>
      </w:pPr>
    </w:p>
    <w:p w:rsidR="00906548" w:rsidRDefault="0090654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>
        <w:rPr>
          <w:rFonts w:eastAsiaTheme="minorHAnsi" w:cs="MalgunGothicBold"/>
          <w:b/>
          <w:bCs/>
          <w:kern w:val="0"/>
          <w:szCs w:val="20"/>
          <w:u w:val="single"/>
        </w:rPr>
        <w:t>Reference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t>KIMS POC</w:t>
      </w:r>
    </w:p>
    <w:p w:rsidR="00906548" w:rsidRDefault="00EC0590">
      <w:pPr>
        <w:wordWrap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t>삼성서울병원 약제부 – 중환자 약물 처방 이해: 소아중환자실 지속 정맥주입약물 상용량 및 희석 농도</w:t>
      </w:r>
    </w:p>
    <w:p w:rsidR="00906548" w:rsidRDefault="00EC0590">
      <w:pPr>
        <w:widowControl/>
        <w:wordWrap/>
        <w:autoSpaceDE/>
        <w:autoSpaceDN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/>
          <w:b/>
          <w:bCs/>
          <w:kern w:val="0"/>
          <w:szCs w:val="20"/>
        </w:rPr>
        <w:br w:type="page"/>
      </w:r>
    </w:p>
    <w:p w:rsidR="00906548" w:rsidRDefault="00EC0590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/>
          <w:b/>
          <w:bCs/>
          <w:noProof/>
          <w:kern w:val="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margin">
                  <wp:posOffset>-21590</wp:posOffset>
                </wp:positionH>
                <wp:positionV relativeFrom="paragraph">
                  <wp:posOffset>-236855</wp:posOffset>
                </wp:positionV>
                <wp:extent cx="6629400" cy="781050"/>
                <wp:effectExtent l="23859" t="23859" r="77740" b="77740"/>
                <wp:wrapNone/>
                <wp:docPr id="1043" name="shape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9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:rsidR="00906548" w:rsidRDefault="00EC0590">
                              <w:pPr>
                                <w:jc w:val="left"/>
                                <w:rPr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203965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 공지사항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0" name="child 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43" o:spid="_x0000_s1039" style="position:absolute;left:0;text-align:left;margin-left:-1.7pt;margin-top:-18.65pt;width:522pt;height:61.5pt;z-index:251679744;mso-position-horizontal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xvxLgMAAAcIAAAOAAAAZHJzL2Uyb0RvYy54bWy0VVtv2yAUfp+0/4B4X31pnIvVpJratZpU&#10;bVW7ac8E4xgVgwckTvfrdwBfklTVbpofLA6c63e+AxeX+1qgHdOGK7nEyVmMEZNUFVxulvjrl5t3&#10;c4yMJbIgQkm2xM/M4MvV2zcXbZOzVFVKFEwjcCJN3jZLXFnb5FFkaMVqYs5UwyQclkrXxIKoN1Gh&#10;SQveaxGlcTyNWqWLRivKjIHd63CIV95/WTJqP5elYRaJJYbcrP9r/1+7f7S6IPlGk6bitEuD/EUW&#10;NeESgg6uroklaKv5C1c1p1oZVdozqupIlSWnzNcA1STxSTW3Wm0bX8smbzfNABNAe4LTX7uln3b3&#10;GvECehdPzjGSpIYumYo0zG8APm2zyUHtVjePzb0ORcLyTtEnA8fR6bmTN6PyvtS1M4Ja0d4D/zwA&#10;z/YWUdicTtPFJIb+UDibzZM46zpDK2jfCzNafegMs8UsTWbZqWFE8hDWJzck0zZAMjPiaP4Nx0eH&#10;km+PcQB1OC56EGnFRYESRzEXGDR6/MwheAcnTs10GP8ObL+qnuSNNvaWqRq5xRJrmAdPU7K7M9Y1&#10;b1RxPZLqhgsB+yQX8mgDFMMO80MF1r6nW8v0Y1W0aC22+oEAjbJ47hpZcBfvHFrpBZi4dBa7DyMi&#10;NnBVWIGRVvYbt5XH0XHCuXSJXgmNdgQmdi0IfQoJi6YiYROIAm7G5EHbF6L6ZLx0kCeQoMfVrex+&#10;vfeMz/rWrFXxDN2DdDw/4TqDRaX0D4xauBpgHr5viWYYiY8SOLNIJhOow3phks1SEPThyfrwhEgK&#10;rpaYWu0rker91qqSe/hdPiG6HyRPz0CX/87TBLIO0x6ImvZoAFGv5L3uaPsKH6fTqRs7N67p+SL0&#10;g+T9PGezOJv0Y7nIUo/0MJQj5zpaCi7dHJH8FVoKiVog0DwDl07NKMELx1QvuKeCDZQpnvzEQbAD&#10;rY69J0Qw9lkw50LIB1YCJeAmSkKAY5+EUiZt79drO7MSMhgMA3v9uzUmc2zY6TvTwM4/MR4sfGQl&#10;7WBcc6kCtU6ij1CUQb/jWFf3yD03S04CzvmVf21gdfScHcpea3y/Vz8BAAD//wMAUEsDBBQABgAI&#10;AAAAIQB7sq0b4AAAAAoBAAAPAAAAZHJzL2Rvd25yZXYueG1sTI/LasMwEEX3hf6DmEB3ieQ6LxzL&#10;IYS2q1BoUijdKdbENrFGxlJs5+8rr5rVMMzhzrnpdjA167B1lSUJ0UwAQ8qtrqiQ8H16n66BOa9I&#10;q9oSSrijg232/JSqRNuevrA7+oKFEHKJklB63yScu7xEo9zMNkjhdrGtUT6sbcF1q/oQbmr+KsSS&#10;G1VR+FCqBvcl5tfjzUj46FW/i6O37nC97O+/p8XnzyFCKV8mw24DzOPg/2EY9YM6ZMHpbG+kHasl&#10;TON5IMe5ioGNgJiLJbCzhPViBTxL+WOF7A8AAP//AwBQSwECLQAUAAYACAAAACEAtoM4kv4AAADh&#10;AQAAEwAAAAAAAAAAAAAAAAAAAAAAW0NvbnRlbnRfVHlwZXNdLnhtbFBLAQItABQABgAIAAAAIQA4&#10;/SH/1gAAAJQBAAALAAAAAAAAAAAAAAAAAC8BAABfcmVscy8ucmVsc1BLAQItABQABgAIAAAAIQB8&#10;XxvxLgMAAAcIAAAOAAAAAAAAAAAAAAAAAC4CAABkcnMvZTJvRG9jLnhtbFBLAQItABQABgAIAAAA&#10;IQB7sq0b4AAAAAoBAAAPAAAAAAAAAAAAAAAAAIgFAABkcnMvZG93bnJldi54bWxQSwUGAAAAAAQA&#10;BADzAAAAlQYAAAAA&#10;">
                <v:rect id="child 1" o:spid="_x0000_s1040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sU3xwAAANoAAAAPAAAAZHJzL2Rvd25yZXYueG1sRI9PawIx&#10;FMTvhX6H8Aq9iGbbStXVKKVUKIgV/1y8PTevm8XNy7JJ19VPbwShx2FmfsNMZq0tRUO1LxwreOkl&#10;IIgzpwvOFey28+4QhA/IGkvHpOBMHmbTx4cJptqdeE3NJuQiQtinqMCEUKVS+syQRd9zFXH0fl1t&#10;MURZ51LXeIpwW8rXJHmXFguOCwYr+jSUHTd/VsHgZ3F52zed1fZ86JvdZfi1zDpHpZ6f2o8xiEBt&#10;+A/f299awQhuV+INkNMrAAAA//8DAFBLAQItABQABgAIAAAAIQDb4fbL7gAAAIUBAAATAAAAAAAA&#10;AAAAAAAAAAAAAABbQ29udGVudF9UeXBlc10ueG1sUEsBAi0AFAAGAAgAAAAhAFr0LFu/AAAAFQEA&#10;AAsAAAAAAAAAAAAAAAAAHwEAAF9yZWxzLy5yZWxzUEsBAi0AFAAGAAgAAAAhAC+KxTfHAAAA2gAA&#10;AA8AAAAAAAAAAAAAAAAABwIAAGRycy9kb3ducmV2LnhtbFBLBQYAAAAAAwADALcAAAD7AgAAAAA=&#10;" filled="f" stroked="f">
                  <v:shadow on="t" color="black" opacity="26214f" origin="-.5,-.5" offset=".74836mm,.74836mm"/>
                  <v:textbox>
                    <w:txbxContent>
                      <w:p w:rsidR="00906548" w:rsidRDefault="00EC0590">
                        <w:pPr>
                          <w:jc w:val="left"/>
                          <w:rPr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203965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 공지사항</w:t>
                        </w:r>
                      </w:p>
                    </w:txbxContent>
                  </v:textbox>
                </v:rect>
                <v:line id="child 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eXqwwAAANsAAAAPAAAAZHJzL2Rvd25yZXYueG1sRI/BbsJA&#10;DETvlfoPK1fqrTj0UFWBBdFKVVsqDiR8gMmaJCLrjbILhL+vD0jcbM145nm+HH1nzjzENoiF6SQD&#10;w1IF10ptYVd+vbyDiYnEUReELVw5wnLx+DCn3IWLbPlcpNpoiMScLDQp9TlirBr2FCehZ1HtEAZP&#10;SdehRjfQRcN9h69Z9oaeWtGGhnr+bLg6FidvYfO9x+LautUUO39a/2H5sf4trX1+GlczMInHdDff&#10;rn+c4iu9/qID4OIfAAD//wMAUEsBAi0AFAAGAAgAAAAhANvh9svuAAAAhQEAABMAAAAAAAAAAAAA&#10;AAAAAAAAAFtDb250ZW50X1R5cGVzXS54bWxQSwECLQAUAAYACAAAACEAWvQsW78AAAAVAQAACwAA&#10;AAAAAAAAAAAAAAAfAQAAX3JlbHMvLnJlbHNQSwECLQAUAAYACAAAACEA/SHl6sMAAADbAAAADwAA&#10;AAAAAAAAAAAAAAAHAgAAZHJzL2Rvd25yZXYueG1sUEsFBgAAAAADAAMAtwAAAPcCAAAAAA==&#10;" strokecolor="black [3200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:rsidR="00906548" w:rsidRDefault="00906548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:rsidR="00906548" w:rsidRDefault="00EC0590">
      <w:pPr>
        <w:jc w:val="left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 2023 인천·경기지부 총회 및 춘계학술세미나 참석</w:t>
      </w:r>
    </w:p>
    <w:p w:rsidR="00906548" w:rsidRDefault="00EC0590">
      <w:pPr>
        <w:jc w:val="lef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동국대일산병원에서 인천·경기지부 총회 및 춘계 학술세미나가 개최되었습니다. </w:t>
      </w:r>
    </w:p>
    <w:p w:rsidR="00906548" w:rsidRDefault="00EC0590">
      <w:pPr>
        <w:jc w:val="lef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손정희 팀장, 고정윤 약사, 박소연 약사, 백혜진 약사, 이한솔 약사가 참석하였습니다.(4.19)</w:t>
      </w:r>
    </w:p>
    <w:p w:rsidR="00906548" w:rsidRDefault="00EC0590">
      <w:pPr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3074504" cy="2134423"/>
            <wp:effectExtent l="0" t="0" r="0" b="0"/>
            <wp:docPr id="1046" name="shape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4504" cy="213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noProof/>
          <w:sz w:val="24"/>
          <w:szCs w:val="24"/>
        </w:rPr>
        <w:drawing>
          <wp:inline distT="0" distB="0" distL="0" distR="0">
            <wp:extent cx="3084884" cy="2142212"/>
            <wp:effectExtent l="0" t="0" r="0" b="0"/>
            <wp:docPr id="1047" name="shape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4884" cy="214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548" w:rsidRDefault="00EC0590">
      <w:pPr>
        <w:jc w:val="left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학술세미나는 면역항암제의 최신지견, 면역항암제의 복약상담, 처방검토시스템 개발, 퇴원환자 병동복약상담 사례발표를 주제로 진행되었습니다.</w:t>
      </w:r>
    </w:p>
    <w:p w:rsidR="00906548" w:rsidRDefault="00EC0590">
      <w:pPr>
        <w:jc w:val="left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 을지대단 설립자 고 범석 박영하 박사 추모 10주기 등반대회 : 사패산 산행</w:t>
      </w:r>
    </w:p>
    <w:p w:rsidR="00906548" w:rsidRDefault="00EC0590">
      <w:pPr>
        <w:jc w:val="center"/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0" distR="0">
            <wp:extent cx="3152298" cy="2301888"/>
            <wp:effectExtent l="0" t="0" r="0" b="0"/>
            <wp:docPr id="1048" name="shape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6" b="6926"/>
                    <a:stretch>
                      <a:fillRect/>
                    </a:stretch>
                  </pic:blipFill>
                  <pic:spPr>
                    <a:xfrm>
                      <a:off x="0" y="0"/>
                      <a:ext cx="3152298" cy="230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</w:rPr>
        <w:t xml:space="preserve"> </w:t>
      </w:r>
      <w:r>
        <w:rPr>
          <w:noProof/>
          <w:sz w:val="24"/>
        </w:rPr>
        <w:drawing>
          <wp:inline distT="0" distB="0" distL="0" distR="0">
            <wp:extent cx="2316769" cy="2439323"/>
            <wp:effectExtent l="61277" t="61277" r="61277" b="61277"/>
            <wp:docPr id="1049" name="shape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7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16769" cy="243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548" w:rsidRDefault="00EC0590" w:rsidP="00ED49EE">
      <w:pPr>
        <w:ind w:firstLine="240"/>
        <w:jc w:val="left"/>
        <w:rPr>
          <w:sz w:val="24"/>
        </w:rPr>
      </w:pPr>
      <w:r>
        <w:rPr>
          <w:noProof/>
          <w:sz w:val="24"/>
        </w:rPr>
        <w:t xml:space="preserve">범석 박영하 설립자 추모 10주기 행사로 실사한 </w:t>
      </w:r>
      <w:r>
        <w:rPr>
          <w:rFonts w:hint="eastAsia"/>
          <w:sz w:val="24"/>
        </w:rPr>
        <w:t>사패산 산행에는 병원장 외 143명이 참가했고, 약제부는 이광섭부장,</w:t>
      </w:r>
      <w:r>
        <w:rPr>
          <w:sz w:val="24"/>
        </w:rPr>
        <w:t xml:space="preserve"> </w:t>
      </w:r>
      <w:r>
        <w:rPr>
          <w:rFonts w:hint="eastAsia"/>
          <w:sz w:val="24"/>
        </w:rPr>
        <w:t>손정희 팀장,</w:t>
      </w:r>
      <w:r>
        <w:rPr>
          <w:sz w:val="24"/>
        </w:rPr>
        <w:t xml:space="preserve"> </w:t>
      </w:r>
      <w:r>
        <w:rPr>
          <w:rFonts w:hint="eastAsia"/>
          <w:sz w:val="24"/>
        </w:rPr>
        <w:t>강선미 파트장,</w:t>
      </w:r>
      <w:r>
        <w:rPr>
          <w:sz w:val="24"/>
        </w:rPr>
        <w:t xml:space="preserve"> </w:t>
      </w:r>
      <w:r>
        <w:rPr>
          <w:rFonts w:hint="eastAsia"/>
          <w:sz w:val="24"/>
        </w:rPr>
        <w:t>이민아 약사,</w:t>
      </w:r>
      <w:r>
        <w:rPr>
          <w:sz w:val="24"/>
        </w:rPr>
        <w:t xml:space="preserve"> </w:t>
      </w:r>
      <w:r>
        <w:rPr>
          <w:rFonts w:hint="eastAsia"/>
          <w:sz w:val="24"/>
        </w:rPr>
        <w:t>김혜원 약사가 참가하였습니다. (5.13)</w:t>
      </w:r>
    </w:p>
    <w:p w:rsidR="00ED49EE" w:rsidRDefault="00ED49EE" w:rsidP="00ED49EE">
      <w:pPr>
        <w:ind w:firstLine="240"/>
        <w:jc w:val="left"/>
        <w:rPr>
          <w:noProof/>
        </w:rPr>
      </w:pPr>
    </w:p>
    <w:p w:rsidR="00ED49EE" w:rsidRDefault="00ED49EE" w:rsidP="00ED49EE">
      <w:pPr>
        <w:ind w:firstLine="240"/>
        <w:jc w:val="left"/>
        <w:rPr>
          <w:noProof/>
        </w:rPr>
      </w:pPr>
    </w:p>
    <w:p w:rsidR="001E11EF" w:rsidRDefault="001E11EF" w:rsidP="001E11EF">
      <w:pPr>
        <w:spacing w:line="240" w:lineRule="auto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lastRenderedPageBreak/>
        <w:t>■ 원내 의약품 정보 검색 교육 실시</w:t>
      </w:r>
    </w:p>
    <w:p w:rsidR="001E11EF" w:rsidRDefault="001E11EF" w:rsidP="001E11EF">
      <w:pPr>
        <w:spacing w:line="240" w:lineRule="auto"/>
        <w:rPr>
          <w:rFonts w:eastAsiaTheme="minorHAnsi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원내 간호사들을 대상으로, ‘의약품 정보 검색’에 관한 교육을 실시하였습니다.(3.27)</w:t>
      </w:r>
    </w:p>
    <w:p w:rsidR="001E11EF" w:rsidRDefault="001E11EF" w:rsidP="001E11EF">
      <w:pPr>
        <w:spacing w:line="240" w:lineRule="auto"/>
        <w:rPr>
          <w:rFonts w:eastAsiaTheme="minorHAnsi"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inline distT="0" distB="0" distL="0" distR="0" wp14:anchorId="24000DDD" wp14:editId="3120A74F">
            <wp:extent cx="2954591" cy="1841317"/>
            <wp:effectExtent l="9525" t="9525" r="9525" b="9525"/>
            <wp:docPr id="1030" name="shape10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4591" cy="1841317"/>
                    </a:xfrm>
                    <a:prstGeom prst="rect">
                      <a:avLst/>
                    </a:prstGeom>
                    <a:ln>
                      <a:solidFill>
                        <a:schemeClr val="dk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BF5B3D" wp14:editId="641C0F52">
            <wp:extent cx="3185414" cy="1830568"/>
            <wp:effectExtent l="9525" t="9525" r="9525" b="9525"/>
            <wp:docPr id="1031" name="shape10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5414" cy="1830568"/>
                    </a:xfrm>
                    <a:prstGeom prst="rect">
                      <a:avLst/>
                    </a:prstGeom>
                    <a:ln>
                      <a:solidFill>
                        <a:schemeClr val="dk1"/>
                      </a:solidFill>
                    </a:ln>
                  </pic:spPr>
                </pic:pic>
              </a:graphicData>
            </a:graphic>
          </wp:inline>
        </w:drawing>
      </w:r>
    </w:p>
    <w:p w:rsidR="00A64E75" w:rsidRDefault="001E11EF" w:rsidP="001E11EF">
      <w:pPr>
        <w:spacing w:line="240" w:lineRule="auto"/>
        <w:rPr>
          <w:rFonts w:eastAsiaTheme="minorHAnsi" w:hint="eastAsia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당일 교육은 KIMS POC의 기능, 원내 미보유 의약품의 대체가능 의약품 조회 방법, 의약품 집계시간 및 불출안내 의 내용으로 진행되었습니다.</w:t>
      </w:r>
    </w:p>
    <w:p w:rsidR="00A64E75" w:rsidRDefault="00A64E75" w:rsidP="00A64E75">
      <w:pPr>
        <w:jc w:val="left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>
        <w:rPr>
          <w:rFonts w:eastAsiaTheme="minorHAnsi"/>
          <w:b/>
          <w:sz w:val="24"/>
          <w:szCs w:val="24"/>
        </w:rPr>
        <w:t>2023</w:t>
      </w:r>
      <w:r>
        <w:rPr>
          <w:rFonts w:eastAsiaTheme="minorHAnsi" w:hint="eastAsia"/>
          <w:b/>
          <w:sz w:val="24"/>
          <w:szCs w:val="24"/>
        </w:rPr>
        <w:t>년도 신규 약사 입사</w:t>
      </w:r>
    </w:p>
    <w:p w:rsidR="00A64E75" w:rsidRDefault="00A64E75" w:rsidP="00A64E75">
      <w:pPr>
        <w:spacing w:line="240" w:lineRule="auto"/>
        <w:ind w:firstLineChars="100" w:firstLine="240"/>
        <w:rPr>
          <w:rFonts w:eastAsiaTheme="minorHAnsi" w:hint="eastAsia"/>
          <w:sz w:val="24"/>
          <w:szCs w:val="24"/>
        </w:rPr>
      </w:pPr>
      <w:r>
        <w:rPr>
          <w:sz w:val="24"/>
        </w:rPr>
        <w:t>2023</w:t>
      </w:r>
      <w:r>
        <w:rPr>
          <w:rFonts w:hint="eastAsia"/>
          <w:sz w:val="24"/>
        </w:rPr>
        <w:t xml:space="preserve">년 </w:t>
      </w:r>
      <w:r>
        <w:rPr>
          <w:sz w:val="24"/>
        </w:rPr>
        <w:t>4</w:t>
      </w:r>
      <w:r>
        <w:rPr>
          <w:rFonts w:hint="eastAsia"/>
          <w:sz w:val="24"/>
        </w:rPr>
        <w:t xml:space="preserve">월 </w:t>
      </w:r>
      <w:r>
        <w:rPr>
          <w:sz w:val="24"/>
        </w:rPr>
        <w:t>3</w:t>
      </w:r>
      <w:r>
        <w:rPr>
          <w:rFonts w:hint="eastAsia"/>
          <w:sz w:val="24"/>
        </w:rPr>
        <w:t>일,</w:t>
      </w:r>
      <w:r>
        <w:rPr>
          <w:sz w:val="24"/>
        </w:rPr>
        <w:t xml:space="preserve"> </w:t>
      </w:r>
      <w:r>
        <w:rPr>
          <w:rFonts w:hint="eastAsia"/>
          <w:sz w:val="24"/>
        </w:rPr>
        <w:t>김가희</w:t>
      </w:r>
      <w:r>
        <w:rPr>
          <w:rFonts w:hint="eastAsia"/>
          <w:sz w:val="24"/>
        </w:rPr>
        <w:t xml:space="preserve"> 약사님,</w:t>
      </w:r>
      <w:r>
        <w:rPr>
          <w:sz w:val="24"/>
        </w:rPr>
        <w:t xml:space="preserve"> </w:t>
      </w:r>
      <w:r>
        <w:rPr>
          <w:rFonts w:hint="eastAsia"/>
          <w:sz w:val="24"/>
        </w:rPr>
        <w:t>김도형</w:t>
      </w:r>
      <w:r>
        <w:rPr>
          <w:rFonts w:hint="eastAsia"/>
          <w:sz w:val="24"/>
        </w:rPr>
        <w:t xml:space="preserve"> 약사님께서 입사하셨습니다.</w:t>
      </w:r>
    </w:p>
    <w:p w:rsidR="00ED49EE" w:rsidRPr="00A64E75" w:rsidRDefault="00ED49EE" w:rsidP="001E11EF">
      <w:pPr>
        <w:jc w:val="left"/>
        <w:rPr>
          <w:noProof/>
        </w:rPr>
      </w:pPr>
      <w:bookmarkStart w:id="0" w:name="_GoBack"/>
      <w:bookmarkEnd w:id="0"/>
    </w:p>
    <w:p w:rsidR="00906548" w:rsidRDefault="00EC0590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4287" t="14287" r="14287" b="14287"/>
                <wp:wrapNone/>
                <wp:docPr id="1050" name="shape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27pt;width:498.689pt;height:0.75pt;mso-position-horizontal:left;mso-position-horizontal-relative:margin;mso-position-vertical-relative:line;v-text-anchor:top;mso-wrap-style:square;z-index:251721728" o:allowincell="t" filled="f" stroked="t" strokecolor="#0" strokeweight="2.25pt">
                <v:stroke joinstyle="round"/>
              </v:line>
            </w:pict>
          </mc:Fallback>
        </mc:AlternateContent>
      </w:r>
      <w:r>
        <w:rPr>
          <w:noProof/>
        </w:rPr>
        <w:drawing>
          <wp:inline distT="0" distB="0" distL="0" distR="0">
            <wp:extent cx="2333625" cy="304800"/>
            <wp:effectExtent l="0" t="0" r="0" b="0"/>
            <wp:docPr id="1051" name="shape10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548" w:rsidRDefault="00EC0590">
      <w:pPr>
        <w:spacing w:line="180" w:lineRule="auto"/>
        <w:rPr>
          <w:color w:val="FF0000"/>
        </w:rPr>
      </w:pPr>
      <w:r>
        <w:rPr>
          <w:noProof/>
          <w:color w:val="FF0000"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>
        <w:rPr>
          <w:rFonts w:hint="eastAsia"/>
          <w:noProof/>
        </w:rPr>
        <w:t>손정희,</w:t>
      </w:r>
      <w:r>
        <w:rPr>
          <w:noProof/>
        </w:rPr>
        <w:t xml:space="preserve"> </w:t>
      </w:r>
      <w:r w:rsidR="001E11EF">
        <w:rPr>
          <w:rFonts w:hint="eastAsia"/>
          <w:noProof/>
        </w:rPr>
        <w:t>이민아,</w:t>
      </w:r>
      <w:r w:rsidR="001E11EF">
        <w:rPr>
          <w:noProof/>
        </w:rPr>
        <w:t xml:space="preserve"> </w:t>
      </w:r>
      <w:r>
        <w:rPr>
          <w:rFonts w:hint="eastAsia"/>
          <w:noProof/>
        </w:rPr>
        <w:t>고정윤</w:t>
      </w:r>
      <w:r>
        <w:rPr>
          <w:noProof/>
        </w:rPr>
        <w:t xml:space="preserve">, </w:t>
      </w:r>
      <w:r>
        <w:rPr>
          <w:rFonts w:hint="eastAsia"/>
          <w:noProof/>
        </w:rPr>
        <w:t>백혜진</w:t>
      </w:r>
      <w:r>
        <w:rPr>
          <w:noProof/>
          <w:color w:val="FF0000"/>
        </w:rPr>
        <w:t xml:space="preserve">   </w:t>
      </w:r>
      <w:r w:rsidR="001E11EF">
        <w:rPr>
          <w:noProof/>
          <w:color w:val="FF0000"/>
        </w:rPr>
        <w:t xml:space="preserve">   </w:t>
      </w:r>
      <w:r>
        <w:rPr>
          <w:noProof/>
          <w:color w:val="FF0000"/>
        </w:rPr>
        <w:t xml:space="preserve">   </w:t>
      </w:r>
      <w:r>
        <w:rPr>
          <w:rFonts w:hint="eastAsia"/>
          <w:color w:val="000000"/>
          <w:szCs w:val="130"/>
        </w:rPr>
        <w:t>|발행일|</w:t>
      </w:r>
      <w:r w:rsidRPr="001E11EF">
        <w:rPr>
          <w:color w:val="000000" w:themeColor="text1"/>
          <w:szCs w:val="130"/>
        </w:rPr>
        <w:t xml:space="preserve"> </w:t>
      </w:r>
      <w:r w:rsidRPr="001E11EF">
        <w:rPr>
          <w:color w:val="000000" w:themeColor="text1"/>
        </w:rPr>
        <w:fldChar w:fldCharType="begin"/>
      </w:r>
      <w:r w:rsidRPr="001E11EF">
        <w:rPr>
          <w:color w:val="000000" w:themeColor="text1"/>
        </w:rPr>
        <w:instrText xml:space="preserve"> </w:instrText>
      </w:r>
      <w:r w:rsidRPr="001E11EF">
        <w:rPr>
          <w:rFonts w:hint="eastAsia"/>
          <w:color w:val="000000" w:themeColor="text1"/>
        </w:rPr>
        <w:instrText>CREATEDATE  \@ "yyyy'년' M'월' d'일' aaa요일"  \* MERGEFORMAT</w:instrText>
      </w:r>
      <w:r w:rsidRPr="001E11EF">
        <w:rPr>
          <w:color w:val="000000" w:themeColor="text1"/>
        </w:rPr>
        <w:instrText xml:space="preserve"> </w:instrText>
      </w:r>
      <w:r w:rsidRPr="001E11EF">
        <w:rPr>
          <w:color w:val="000000" w:themeColor="text1"/>
        </w:rPr>
        <w:fldChar w:fldCharType="separate"/>
      </w:r>
      <w:r w:rsidRPr="001E11EF">
        <w:rPr>
          <w:noProof/>
          <w:color w:val="000000" w:themeColor="text1"/>
        </w:rPr>
        <w:t xml:space="preserve">2023년 6월 23일 </w:t>
      </w:r>
      <w:r w:rsidRPr="001E11EF">
        <w:rPr>
          <w:rFonts w:hint="eastAsia"/>
          <w:noProof/>
          <w:color w:val="000000" w:themeColor="text1"/>
        </w:rPr>
        <w:t>금</w:t>
      </w:r>
      <w:r w:rsidRPr="001E11EF">
        <w:rPr>
          <w:noProof/>
          <w:color w:val="000000" w:themeColor="text1"/>
        </w:rPr>
        <w:t>요일</w:t>
      </w:r>
      <w:r w:rsidRPr="001E11EF">
        <w:rPr>
          <w:color w:val="000000" w:themeColor="text1"/>
        </w:rPr>
        <w:fldChar w:fldCharType="end"/>
      </w:r>
    </w:p>
    <w:p w:rsidR="00906548" w:rsidRDefault="00EC0590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      </w:t>
      </w:r>
      <w:r>
        <w:rPr>
          <w:rFonts w:ascii="NanumGothic" w:hAnsi="NanumGothic"/>
          <w:spacing w:val="-12"/>
          <w:sz w:val="18"/>
          <w:szCs w:val="18"/>
        </w:rPr>
        <w:t>경기도</w:t>
      </w:r>
      <w:r>
        <w:rPr>
          <w:rFonts w:ascii="NanumGothic" w:hAnsi="NanumGothic"/>
          <w:spacing w:val="-12"/>
          <w:sz w:val="18"/>
          <w:szCs w:val="18"/>
        </w:rPr>
        <w:t xml:space="preserve"> </w:t>
      </w:r>
      <w:r>
        <w:rPr>
          <w:rFonts w:ascii="NanumGothic" w:hAnsi="NanumGothic"/>
          <w:spacing w:val="-12"/>
          <w:sz w:val="18"/>
          <w:szCs w:val="18"/>
        </w:rPr>
        <w:t>의정부시</w:t>
      </w:r>
      <w:r>
        <w:rPr>
          <w:rFonts w:ascii="NanumGothic" w:hAnsi="NanumGothic"/>
          <w:spacing w:val="-12"/>
          <w:sz w:val="18"/>
          <w:szCs w:val="18"/>
        </w:rPr>
        <w:t xml:space="preserve"> </w:t>
      </w:r>
      <w:r>
        <w:rPr>
          <w:rFonts w:ascii="NanumGothic" w:hAnsi="NanumGothic"/>
          <w:spacing w:val="-12"/>
          <w:sz w:val="18"/>
          <w:szCs w:val="18"/>
        </w:rPr>
        <w:t>동일로</w:t>
      </w:r>
      <w:r>
        <w:rPr>
          <w:rFonts w:ascii="NanumGothic" w:hAnsi="NanumGothic"/>
          <w:spacing w:val="-12"/>
          <w:sz w:val="18"/>
          <w:szCs w:val="18"/>
        </w:rPr>
        <w:t xml:space="preserve"> 712 [ </w:t>
      </w:r>
      <w:r>
        <w:rPr>
          <w:rFonts w:ascii="NanumGothic" w:hAnsi="NanumGothic"/>
          <w:spacing w:val="-12"/>
          <w:sz w:val="18"/>
          <w:szCs w:val="18"/>
        </w:rPr>
        <w:t>우</w:t>
      </w:r>
      <w:r>
        <w:rPr>
          <w:rFonts w:ascii="NanumGothic" w:hAnsi="NanumGothic"/>
          <w:spacing w:val="-12"/>
          <w:sz w:val="18"/>
          <w:szCs w:val="18"/>
        </w:rPr>
        <w:t xml:space="preserve"> : 11759 ]</w:t>
      </w:r>
    </w:p>
    <w:sectPr w:rsidR="00906548">
      <w:footerReference w:type="even" r:id="rId15"/>
      <w:footerReference w:type="default" r:id="rId16"/>
      <w:footerReference w:type="first" r:id="rId17"/>
      <w:type w:val="continuous"/>
      <w:pgSz w:w="11906" w:h="16838"/>
      <w:pgMar w:top="720" w:right="720" w:bottom="720" w:left="720" w:header="851" w:footer="9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57F" w:rsidRDefault="0029657F">
      <w:pPr>
        <w:spacing w:after="0" w:line="240" w:lineRule="auto"/>
      </w:pPr>
      <w:r>
        <w:separator/>
      </w:r>
    </w:p>
  </w:endnote>
  <w:endnote w:type="continuationSeparator" w:id="0">
    <w:p w:rsidR="0029657F" w:rsidRDefault="0029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48" w:rsidRDefault="00EC0590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hidden="0" allowOverlap="1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19050"/>
              <wp:wrapSquare wrapText="bothSides"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06548" w:rsidRDefault="00EC0590">
                          <w:pPr>
                            <w:jc w:val="right"/>
                            <w:rPr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>
                            <w:rPr>
                              <w:color w:val="FFFFFF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2049" o:spid="_x0000_s1042" style="position:absolute;left:0;text-align:left;margin-left:-15.2pt;margin-top:5.3pt;width:36pt;height:25.2pt;z-index:251662336;visibility:visible;mso-wrap-style:square;mso-wrap-distance-left:0;mso-wrap-distance-top:0;mso-wrap-distance-right:0;mso-wrap-distance-bottom:0;mso-position-horizontal:right;mso-position-horizontal-relative:margin;mso-position-vertical:absolute;mso-position-vertical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SdQwIAAFAFAAAOAAAAZHJzL2Uyb0RvYy54bWy0VFFv0zAQfkfiP1h+p0lLB1vUdEJMQ0iD&#10;TQx+gOvYjYXtC7bbpPx6znaadTCEhCAPkc93993dd3deXQ5Gk71wXoGt6XxWUiIsh0bZbU2/fL5+&#10;cU6JD8w2TIMVNT0ITy/Xz5+t+q4SC2hBN8IRBLG+6ruatiF0VVF43grD/Aw6YVEpwRkWUHTbonGs&#10;R3Sji0VZvip6cE3ngAvv8fYqK+k64UspeLiV0otAdE0xt5D+Lv038V+sV6zaOta1io9psL/IwjBl&#10;MegEdcUCIzunfoEyijvwIMOMgylASsVFqgGrmZc/VXPfsk6kWpAc3000+X8Hyz/u7xxRTU0X5fKC&#10;EssMdsnHwOkC+ek7X6HZfXfnYoW+uwH+1aOieKSJgh9tBulMtMX6yJDIPkxkiyEQjpfLs9fYQEo4&#10;ql7iaZmaUbDq6Nw5H94JMCQeauqwl4litr/xIYZn1dEk5QVaNddK6yTE+RFvtSN7hp1nnAsb5sld&#10;78wHaPL9WYlfnAHESiMXXbJ0iqYt6THJ8zka/9dQmIa2I7GZy8RqOGgR42r7SUhsFrK3yIn8vkxs&#10;YSP+VGUCjMgSeZuwM08TH48pzGSN9tFVpC2bnEeGnk4sO08eKTLYMDkbZcE9VZnG5o2Rs/2RpExN&#10;ZCkMmwFN4nEDzQGn2kFed3ye8NCC+05Jj6uO8/1tx5ygRL+3uEsX8yUOHwlJSGNJiTvVbE41zHKE&#10;qikPOVMLb3YBpEoj+RB9TBDXNs3T+MTEd+FUTlYPD+H6BwAAAP//AwBQSwMEFAAGAAgAAAAhAJjW&#10;9vnbAAAABQEAAA8AAABkcnMvZG93bnJldi54bWxMj0FLw0AQhe9C/8Myhd7sbkqJIWZTiuBFiWBV&#10;0Ns0uyax2dmQ3abx3zue9PjmDe99r9jNrheTHUPnSUOyViAs1d501Gh4fbm/zkCEiGSw92Q1fNsA&#10;u3JxVWBu/IWe7XSIjeAQCjlqaGMccilD3VqHYe0HS+x9+tFhZDk20ox44XDXy41SqXTYETe0ONi7&#10;1tanw9lpoOr98fSAH+GpevvaZklm9pOqtF4t5/0tiGjn+PcMv/iMDiUzHf2ZTBC9Bh4S+apSEOze&#10;bFgfNaSJAlkW8j99+QMAAP//AwBQSwECLQAUAAYACAAAACEAtoM4kv4AAADhAQAAEwAAAAAAAAAA&#10;AAAAAAAAAAAAW0NvbnRlbnRfVHlwZXNdLnhtbFBLAQItABQABgAIAAAAIQA4/SH/1gAAAJQBAAAL&#10;AAAAAAAAAAAAAAAAAC8BAABfcmVscy8ucmVsc1BLAQItABQABgAIAAAAIQDJaMSdQwIAAFAFAAAO&#10;AAAAAAAAAAAAAAAAAC4CAABkcnMvZTJvRG9jLnhtbFBLAQItABQABgAIAAAAIQCY1vb52wAAAAUB&#10;AAAPAAAAAAAAAAAAAAAAAJ0EAABkcnMvZG93bnJldi54bWxQSwUGAAAAAAQABADzAAAApQUAAAAA&#10;" fillcolor="#1f3763 [1604]" strokecolor="#1f3763 [1604]" strokeweight="3pt">
              <v:path arrowok="t"/>
              <v:textbox>
                <w:txbxContent>
                  <w:p w:rsidR="00906548" w:rsidRDefault="00EC0590">
                    <w:pPr>
                      <w:jc w:val="right"/>
                      <w:rPr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color w:val="FFFFFF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color w:val="FFFFFF"/>
                        <w:sz w:val="24"/>
                        <w:szCs w:val="24"/>
                      </w:rPr>
                      <w:instrText>PAGE   \* MERGEFORMAT</w:instrText>
                    </w:r>
                    <w:r>
                      <w:rPr>
                        <w:color w:val="FFFFFF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color w:val="FFFFFF"/>
                        <w:sz w:val="24"/>
                        <w:szCs w:val="24"/>
                        <w:lang w:val="ko-KR"/>
                      </w:rPr>
                      <w:t>2</w:t>
                    </w:r>
                    <w:r>
                      <w:rPr>
                        <w:color w:val="FFFFFF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dk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0" style="position:absolute;margin-left:0pt;margin-top:2.65pt;width:466.505pt;height:1.46488pt;mso-position-horizontal:center;mso-position-horizontal-relative:margin;mso-position-vertical-relative:line;v-text-anchor:middle;mso-wrap-style:square;z-index:251664384" o:allowincell="t" filled="t" fillcolor="#0" stroked="f">
              <w10:wrap type="square"/>
              <v:stroke joinstyle="round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48" w:rsidRDefault="00EC0590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0" b="19050"/>
              <wp:wrapSquare wrapText="bothSides"/>
              <wp:docPr id="2051" name="shape20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11" name="child 1"/>
                      <wps:cNvSpPr>
                        <a:spLocks/>
                      </wps:cNvSpPr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6548" w:rsidRDefault="00EC0590">
                            <w:pPr>
                              <w:jc w:val="right"/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instrText>PAGE   \* MERGEFORMAT</w:instrText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separate"/>
                            </w:r>
                            <w:r>
                              <w:rPr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</w:t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b">
                        <a:noAutofit/>
                      </wps:bodyPr>
                    </wps:wsp>
                    <wps:wsp>
                      <wps:cNvPr id="12" name="child 2"/>
                      <wps:cNvSpPr>
                        <a:spLocks/>
                      </wps:cNvSpPr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2051" o:spid="_x0000_s1043" style="position:absolute;left:0;text-align:left;margin-left:0;margin-top:32pt;width:521.25pt;height:32.25pt;z-index:251660288;mso-position-horizontal:left;mso-position-horizontal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6h+8gIAAAIKAAAOAAAAZHJzL2Uyb0RvYy54bWzsVltv0zAUfkfiP1h+Z7ks6dpo6YQYm5AG&#10;TAx+gOs4F+HYwXabll+/YzvJum4INBjigT5Ets/98/lOfXq2bTnaMKUbKXIcHYUYMUFl0Ygqx18+&#10;X7yaY6QNEQXhUrAc75jGZ8uXL077LmOxrCUvmELgROis73JcG9NlQaBpzVqij2THBAhLqVpiYKuq&#10;oFCkB+8tD+IwnAW9VEWnJGVaw+m5F+Kl81+WjJqPZamZQTzHkJtxX+W+K/sNlqckqxTp6oYOaZAn&#10;ZNGSRkDQydU5MQStVfPAVdtQJbUszRGVbSDLsqHM1QDVROFBNZdKrjtXS5X1VTfBBNAe4PRkt/TD&#10;5lqhpshxHKYRRoK0cEu6Jh1zB4BP31UZqF2q7qa7Vr5IWF5J+lWDODiU2311p7wtVWuNoFa0dcDv&#10;JuDZ1iAKh7NZtJifpBhRkCXhIoW1uxlaw/U9MKP128EwXcRJMl8cGgYk82FdclMyfQdNpu9w1L+H&#10;441FyV2PtgANOEYTirRueIEiW4mNDCojgHofvT2JVdMDyAe4RYswhQa2+JzM4gGeEb8kPQEyeBSO&#10;AUvQtDczokCyTmlzyWSL7CLHCnjh2pVsrrTxqqOKvSsteVNcNJy7jeUie8MV2hBgEaGUCRM5c75u&#10;38vCn6ch/Iawjr7WxCVxzxsXqM/x8TwC5WcNBdVz4dpzxNSha3ac2bhcfGIlND50X+wT+XGZQIeC&#10;/axK59B6LgG3ybfHacLjPoQe+EHfmjI3sSbjAaHHE/PGk4WLLIWZjNtGSPVYZRwub4js9UeQPDQW&#10;JbNdbd1QmJp3JYsdNLiSfoLCxIdFLdV3jHqYnjAyvq2JYhjxdwJotYiSxI5bt3HdiZHal6z2JURQ&#10;cJXjlUtXyNdrI8vG9aXNxscesgT+ejo9P5HjcRx6Isd/hsiexMM/z0jge3Msms/C5B8msG01Ie14&#10;8G30n2ZPpNlfIRU1fgr8Aq3cvyU8NNzUHh5F9iWzv3c0vHu6LW8BAAD//wMAUEsDBBQABgAIAAAA&#10;IQAuh6eT3wAAAAgBAAAPAAAAZHJzL2Rvd25yZXYueG1sTI9Ba8JAEIXvhf6HZYTe6iapEYnZiEjb&#10;kxSqhdLbmB2TYHY3ZNck/vuOp/Y0M7zHm+/lm8m0YqDeN84qiOcRCLKl042tFHwd355XIHxAq7F1&#10;lhTcyMOmeHzIMdNutJ80HEIlOMT6DBXUIXSZlL6syaCfu44sa2fXGwx89pXUPY4cblqZRNFSGmws&#10;f6ixo11N5eVwNQreRxy3L/HrsL+cd7efY/rxvY9JqafZtF2DCDSFPzPc8RkdCmY6uavVXrQKuEhQ&#10;sFzwvKvRIklBnHhLVinIIpf/CxS/AAAA//8DAFBLAQItABQABgAIAAAAIQC2gziS/gAAAOEBAAAT&#10;AAAAAAAAAAAAAAAAAAAAAABbQ29udGVudF9UeXBlc10ueG1sUEsBAi0AFAAGAAgAAAAhADj9If/W&#10;AAAAlAEAAAsAAAAAAAAAAAAAAAAALwEAAF9yZWxzLy5yZWxzUEsBAi0AFAAGAAgAAAAhAPTbqH7y&#10;AgAAAgoAAA4AAAAAAAAAAAAAAAAALgIAAGRycy9lMm9Eb2MueG1sUEsBAi0AFAAGAAgAAAAhAC6H&#10;p5PfAAAACAEAAA8AAAAAAAAAAAAAAAAATAUAAGRycy9kb3ducmV2LnhtbFBLBQYAAAAABAAEAPMA&#10;AABYBgAAAAA=&#10;">
              <v:rect id="child 1" o:sp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K0dwQAAANsAAAAPAAAAZHJzL2Rvd25yZXYueG1sRE9La8JA&#10;EL4L/Q/LFLyZTTyIpK7SliqehKj0PGanSdrsbJrdPPz3riB4m4/vOavNaGrRU+sqywqSKAZBnFtd&#10;caHgfNrOliCcR9ZYWyYFV3KwWb9MVphqO3BG/dEXIoSwS1FB6X2TSunykgy6yDbEgfuxrUEfYFtI&#10;3eIQwk0t53G8kAYrDg0lNvRZUv537IyC/nLw28vu+zf5Wvx3Q6cz+1FkSk1fx/c3EJ5G/xQ/3Hsd&#10;5idw/yUcINc3AAAA//8DAFBLAQItABQABgAIAAAAIQDb4fbL7gAAAIUBAAATAAAAAAAAAAAAAAAA&#10;AAAAAABbQ29udGVudF9UeXBlc10ueG1sUEsBAi0AFAAGAAgAAAAhAFr0LFu/AAAAFQEAAAsAAAAA&#10;AAAAAAAAAAAAHwEAAF9yZWxzLy5yZWxzUEsBAi0AFAAGAAgAAAAhANcUrR3BAAAA2wAAAA8AAAAA&#10;AAAAAAAAAAAABwIAAGRycy9kb3ducmV2LnhtbFBLBQYAAAAAAwADALcAAAD1AgAAAAA=&#10;" fillcolor="#1f3763 [1604]" strokecolor="#1f3763 [1604]" strokeweight="3pt">
                <v:path arrowok="t"/>
                <v:textbox>
                  <w:txbxContent>
                    <w:p w:rsidR="00906548" w:rsidRDefault="00EC0590">
                      <w:pPr>
                        <w:jc w:val="right"/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begin"/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instrText>PAGE   \* MERGEFORMAT</w:instrText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separate"/>
                      </w:r>
                      <w:r>
                        <w:rPr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</w:t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end"/>
                      </w:r>
                    </w:p>
                  </w:txbxContent>
                </v:textbox>
              </v:rect>
              <v:rect id="child 2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wNWvgAAANsAAAAPAAAAZHJzL2Rvd25yZXYueG1sRE/NisIw&#10;EL4LvkOYhb1puj0sUo2yLgieBKsPMCZj091mUpqo8e2NIHibj+93FqvkOnGlIbSeFXxNCxDE2puW&#10;GwXHw2YyAxEissHOMym4U4DVcjxaYGX8jfd0rWMjcgiHChXYGPtKyqAtOQxT3xNn7uwHhzHDoZFm&#10;wFsOd50si+JbOmw5N1js6deS/q8vTkF/TuVWrzfre32YXezfaSeTJqU+P9LPHESkFN/il3tr8vwS&#10;nr/kA+TyAQAA//8DAFBLAQItABQABgAIAAAAIQDb4fbL7gAAAIUBAAATAAAAAAAAAAAAAAAAAAAA&#10;AABbQ29udGVudF9UeXBlc10ueG1sUEsBAi0AFAAGAAgAAAAhAFr0LFu/AAAAFQEAAAsAAAAAAAAA&#10;AAAAAAAAHwEAAF9yZWxzLy5yZWxzUEsBAi0AFAAGAAgAAAAhAJubA1a+AAAA2wAAAA8AAAAAAAAA&#10;AAAAAAAABwIAAGRycy9kb3ducmV2LnhtbFBLBQYAAAAAAwADALcAAADyAgAAAAA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548" w:rsidRDefault="00EC0590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hidden="0" allowOverlap="1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0" b="19050"/>
              <wp:wrapSquare wrapText="bothSides"/>
              <wp:docPr id="2054" name="shape20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13" name="child 1"/>
                      <wps:cNvSpPr>
                        <a:spLocks/>
                      </wps:cNvSpPr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6548" w:rsidRDefault="00EC0590">
                            <w:pPr>
                              <w:jc w:val="right"/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instrText>PAGE   \* MERGEFORMAT</w:instrText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separate"/>
                            </w:r>
                            <w:r>
                              <w:rPr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</w:t>
                            </w:r>
                            <w:r>
                              <w:rPr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b">
                        <a:noAutofit/>
                      </wps:bodyPr>
                    </wps:wsp>
                    <wps:wsp>
                      <wps:cNvPr id="14" name="child 2"/>
                      <wps:cNvSpPr>
                        <a:spLocks/>
                      </wps:cNvSpPr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205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hf7AIAAAIKAAAOAAAAZHJzL2Uyb0RvYy54bWzslt9v0zAQx9+R+B8sv7MkXTraaOmEGJuQ&#10;BkwM/gDXcX4Ixza227T89TvbSdp1MNCmIR54qeLYd7773H2vOT3btBytmTaNFDlOjmKMmKCyaESV&#10;469fLl7NMDKWiIJwKViOt8zgs8XLF6edythE1pIXTCNwIkzWqRzX1qosigytWUvMkVRMwGYpdUss&#10;LHUVFZp04L3l0SSOT6JO6kJpSZkx8PY8bOKF91+WjNpPZWmYRTzHEJv1v9r/Lt1vtDglWaWJqhva&#10;h0EeEUVLGgGXjq7OiSVopZt7rtqGamlkaY+obCNZlg1lPgfIJokPsrnUcqV8LlXWVWrEBGgPOD3a&#10;Lf24vtaoKXI8iacpRoK0UCVTE8X8C+DTqSqDY5da3ahrHZKExytJvxnYjg733braHd6UunVGkCva&#10;ePDbETzbWETh5XQ+SdPZHCMKe2kcx9O+MrSG8t0zo/W7hw0jkoVrfXBjMJ2CJjM7juZpHG8cJV8e&#10;4wD1HJPjgSKtG16gxPWYuxmODADNPr29HXfM9JAPuCVzBwUBn+NZEvd4Bn7p9DWIIeA7PknmAd9I&#10;gWRKG3vJZIvcQ4416MK3K1lfGeuKuDviamUkb4qLhnO/cFpkb7lGawIqIpQyYRNvzlftB1mE91Mo&#10;mw8LfHn5OhPv+Y43LlA35PCsV0EYXPj2HJh6unbLmbuXi8+shMaH7pv4XMaY76cJcijY77L0Dp3n&#10;EriNvgOnX/gO4PvzzpT5iTUaxw8FFoxHC3+zFHY0bhsh9c8ccChef3M4P0AKaBwlu1luwlAYmncp&#10;iy00uJZhgsLEh4da6h8YdTA9YWR8XxHNMOLvBchqnqSpG7d+4bsTI72/s9zfIYKCqxwvfbhCvllZ&#10;WTa+L1004e4+StBvkNPzC3kch0HIk4HF04QcRHwg4DsDMJmdxGlfomEK/EsCdq0mpBsPoY3+y+yR&#10;MvsroqI2TIE/kJX/t4QPDT+1+48i9yWzv/Yy3H26LW4BAAD//wMAUEsDBBQABgAIAAAAIQCB3flR&#10;3gAAAAcBAAAPAAAAZHJzL2Rvd25yZXYueG1sTI9BS8NAEIXvgv9hGcGb3aQh1sZsSinqqQi2gvS2&#10;zU6T0OxsyG6T9N87nuzxzXu8902+mmwrBux940hBPItAIJXONFQp+N6/P72A8EGT0a0jVHBFD6vi&#10;/i7XmXEjfeGwC5XgEvKZVlCH0GVS+rJGq/3MdUjsnVxvdWDZV9L0euRy28p5FD1LqxvihVp3uKmx&#10;PO8uVsHHqMd1Er8N2/Npcz3s08+fbYxKPT5M61cQAafwH4Y/fEaHgpmO7kLGi1YBPxIUpPMFCHaX&#10;ScKHI8fidAGyyOUtf/ELAAD//wMAUEsBAi0AFAAGAAgAAAAhALaDOJL+AAAA4QEAABMAAAAAAAAA&#10;AAAAAAAAAAAAAFtDb250ZW50X1R5cGVzXS54bWxQSwECLQAUAAYACAAAACEAOP0h/9YAAACUAQAA&#10;CwAAAAAAAAAAAAAAAAAvAQAAX3JlbHMvLnJlbHNQSwECLQAUAAYACAAAACEAipSYX+wCAAACCgAA&#10;DgAAAAAAAAAAAAAAAAAuAgAAZHJzL2Uyb0RvYy54bWxQSwECLQAUAAYACAAAACEAgd35Ud4AAAAH&#10;AQAADwAAAAAAAAAAAAAAAABGBQAAZHJzL2Rvd25yZXYueG1sUEsFBgAAAAAEAAQA8wAAAFEGAAAA&#10;AA==&#10;">
              <v:rect id="child 1" o:sp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pbxwgAAANsAAAAPAAAAZHJzL2Rvd25yZXYueG1sRE9La8JA&#10;EL4X/A/LCL01G1uQEt0ElVp6KkTF85gdk2h2Ns1uHv333UKht/n4nrPOJtOIgTpXW1awiGIQxIXV&#10;NZcKTsf90ysI55E1NpZJwTc5yNLZwxoTbUfOaTj4UoQQdgkqqLxvEyldUZFBF9mWOHBX2xn0AXal&#10;1B2OIdw08jmOl9JgzaGhwpZ2FRX3Q28UDJdPv7+8n2+Lt+VXP/Y6t9syV+pxPm1WIDxN/l/85/7Q&#10;Yf4L/P4SDpDpDwAAAP//AwBQSwECLQAUAAYACAAAACEA2+H2y+4AAACFAQAAEwAAAAAAAAAAAAAA&#10;AAAAAAAAW0NvbnRlbnRfVHlwZXNdLnhtbFBLAQItABQABgAIAAAAIQBa9CxbvwAAABUBAAALAAAA&#10;AAAAAAAAAAAAAB8BAABfcmVscy8ucmVsc1BLAQItABQABgAIAAAAIQBIipbxwgAAANsAAAAPAAAA&#10;AAAAAAAAAAAAAAcCAABkcnMvZG93bnJldi54bWxQSwUGAAAAAAMAAwC3AAAA9gIAAAAA&#10;" fillcolor="#1f3763 [1604]" strokecolor="#1f3763 [1604]" strokeweight="3pt">
                <v:path arrowok="t"/>
                <v:textbox>
                  <w:txbxContent>
                    <w:p w:rsidR="00906548" w:rsidRDefault="00EC0590">
                      <w:pPr>
                        <w:jc w:val="right"/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begin"/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instrText>PAGE   \* MERGEFORMAT</w:instrText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separate"/>
                      </w:r>
                      <w:r>
                        <w:rPr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</w:t>
                      </w:r>
                      <w:r>
                        <w:rPr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fldChar w:fldCharType="end"/>
                      </w:r>
                    </w:p>
                  </w:txbxContent>
                </v:textbox>
              </v:rect>
              <v:rect id="child 2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j65vgAAANsAAAAPAAAAZHJzL2Rvd25yZXYueG1sRE/NisIw&#10;EL4v+A5hBG9rqiyLVKOoIHhasO4DjMnYVJtJaaLGtzfCwt7m4/udxSq5VtypD41nBZNxAYJYe9Nw&#10;reD3uPucgQgR2WDrmRQ8KcBqOfhYYGn8gw90r2ItcgiHEhXYGLtSyqAtOQxj3xFn7ux7hzHDvpam&#10;x0cOd62cFsW3dNhwbrDY0daSvlY3p6A7p+leb3abZ3Wc3ezl9COTJqVGw7Seg4iU4r/4z703ef4X&#10;vH/JB8jlCwAA//8DAFBLAQItABQABgAIAAAAIQDb4fbL7gAAAIUBAAATAAAAAAAAAAAAAAAAAAAA&#10;AABbQ29udGVudF9UeXBlc10ueG1sUEsBAi0AFAAGAAgAAAAhAFr0LFu/AAAAFQEAAAsAAAAAAAAA&#10;AAAAAAAAHwEAAF9yZWxzLy5yZWxzUEsBAi0AFAAGAAgAAAAhAHs+Prm+AAAA2wAAAA8AAAAAAAAA&#10;AAAAAAAABwIAAGRycy9kb3ducmV2LnhtbFBLBQYAAAAAAwADALcAAADy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57F" w:rsidRDefault="0029657F">
      <w:pPr>
        <w:spacing w:after="0" w:line="240" w:lineRule="auto"/>
      </w:pPr>
      <w:r>
        <w:separator/>
      </w:r>
    </w:p>
  </w:footnote>
  <w:footnote w:type="continuationSeparator" w:id="0">
    <w:p w:rsidR="0029657F" w:rsidRDefault="002965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548"/>
    <w:rsid w:val="001E11EF"/>
    <w:rsid w:val="0029657F"/>
    <w:rsid w:val="00395DB6"/>
    <w:rsid w:val="00904C49"/>
    <w:rsid w:val="00906548"/>
    <w:rsid w:val="00956A27"/>
    <w:rsid w:val="00A64E75"/>
    <w:rsid w:val="00EC0590"/>
    <w:rsid w:val="00ED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67E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bCs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bCs/>
      </w:rPr>
      <w:tblPr/>
      <w:tcPr>
        <w:tcBorders>
          <w:top w:val="double" w:sz="2" w:space="0" w:color="65656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Pr>
      <w:color w:val="808080"/>
    </w:rPr>
  </w:style>
  <w:style w:type="paragraph" w:styleId="a9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Pr>
      <w:b/>
      <w:bCs/>
      <w:szCs w:val="20"/>
    </w:rPr>
  </w:style>
  <w:style w:type="character" w:styleId="ad">
    <w:name w:val="Strong"/>
    <w:basedOn w:val="a0"/>
    <w:uiPriority w:val="22"/>
    <w:qFormat/>
    <w:rPr>
      <w:b/>
      <w:bCs/>
    </w:rPr>
  </w:style>
  <w:style w:type="paragraph" w:customStyle="1" w:styleId="xl73">
    <w:name w:val="xl73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Pr>
      <w:color w:val="0000FF"/>
      <w:u w:val="single"/>
    </w:rPr>
  </w:style>
  <w:style w:type="character" w:customStyle="1" w:styleId="xref">
    <w:name w:val="xref"/>
    <w:basedOn w:val="a0"/>
  </w:style>
  <w:style w:type="paragraph" w:customStyle="1" w:styleId="tl-lowest-section">
    <w:name w:val="tl-lowest-section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</w:style>
  <w:style w:type="character" w:customStyle="1" w:styleId="fig-table-link">
    <w:name w:val="fig-table-link"/>
    <w:basedOn w:val="a0"/>
  </w:style>
  <w:style w:type="character" w:customStyle="1" w:styleId="label">
    <w:name w:val="label"/>
    <w:basedOn w:val="a0"/>
  </w:style>
  <w:style w:type="character" w:customStyle="1" w:styleId="capture-id">
    <w:name w:val="capture-id"/>
    <w:basedOn w:val="a0"/>
  </w:style>
  <w:style w:type="character" w:customStyle="1" w:styleId="externallinkft">
    <w:name w:val="externallinkft"/>
    <w:basedOn w:val="a0"/>
  </w:style>
  <w:style w:type="character" w:customStyle="1" w:styleId="1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Pr>
      <w:color w:val="954F72"/>
      <w:u w:val="single"/>
    </w:rPr>
  </w:style>
  <w:style w:type="paragraph" w:customStyle="1" w:styleId="t1">
    <w:name w:val="t1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</w:style>
  <w:style w:type="character" w:customStyle="1" w:styleId="se-fs-4">
    <w:name w:val="se-fs-4"/>
    <w:basedOn w:val="a0"/>
  </w:style>
  <w:style w:type="character" w:customStyle="1" w:styleId="se-fs-5">
    <w:name w:val="se-fs-5"/>
    <w:basedOn w:val="a0"/>
  </w:style>
  <w:style w:type="character" w:customStyle="1" w:styleId="se-fs-6">
    <w:name w:val="se-fs-6"/>
    <w:basedOn w:val="a0"/>
  </w:style>
  <w:style w:type="character" w:customStyle="1" w:styleId="se-fs-7">
    <w:name w:val="se-fs-7"/>
    <w:basedOn w:val="a0"/>
  </w:style>
  <w:style w:type="character" w:customStyle="1" w:styleId="se-fs-8">
    <w:name w:val="se-fs-8"/>
    <w:basedOn w:val="a0"/>
  </w:style>
  <w:style w:type="paragraph" w:customStyle="1" w:styleId="xl66">
    <w:name w:val="xl66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7">
    <w:name w:val="xl67"/>
    <w:basedOn w:val="a"/>
    <w:pPr>
      <w:spacing w:after="0" w:line="384" w:lineRule="auto"/>
      <w:jc w:val="right"/>
      <w:textAlignment w:val="baseline"/>
    </w:pPr>
    <w:rPr>
      <w:rFonts w:ascii="한컴바탕" w:eastAsia="굴림" w:hAnsi="굴림" w:cs="굴림"/>
      <w:color w:val="FF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2021-10-06T03:29:00Z</cp:lastPrinted>
  <dcterms:created xsi:type="dcterms:W3CDTF">2023-06-19T06:06:00Z</dcterms:created>
  <dcterms:modified xsi:type="dcterms:W3CDTF">2023-06-22T23:23:00Z</dcterms:modified>
  <cp:version>1100.0100.01</cp:version>
</cp:coreProperties>
</file>